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AD" w:rsidRDefault="00A666B3">
      <w:pPr>
        <w:pStyle w:val="BodyText"/>
        <w:spacing w:before="179"/>
        <w:ind w:left="2158" w:right="2057"/>
        <w:jc w:val="center"/>
      </w:pPr>
      <w:r>
        <w:t>JOINT BASE LEWIS McCHORD DESIGN STANDARDS</w:t>
      </w:r>
    </w:p>
    <w:p w:rsidR="00E24CAD" w:rsidRDefault="00E24CAD">
      <w:pPr>
        <w:pStyle w:val="BodyText"/>
        <w:spacing w:before="11"/>
        <w:rPr>
          <w:sz w:val="18"/>
        </w:rPr>
      </w:pPr>
    </w:p>
    <w:p w:rsidR="00E24CAD" w:rsidRDefault="0097373B">
      <w:pPr>
        <w:pStyle w:val="BodyText"/>
        <w:spacing w:line="465" w:lineRule="auto"/>
        <w:ind w:left="2160" w:right="2057"/>
        <w:jc w:val="center"/>
      </w:pPr>
      <w:r>
        <w:t>DIVISION 07 - THERMAL AND MOISTURE PROTECTION SECTION 07 92 00</w:t>
      </w:r>
    </w:p>
    <w:p w:rsidR="00E24CAD" w:rsidRDefault="0097373B" w:rsidP="004A2D0A">
      <w:pPr>
        <w:pStyle w:val="BodyText"/>
        <w:spacing w:line="226" w:lineRule="exact"/>
        <w:ind w:left="2157" w:right="2057"/>
        <w:jc w:val="center"/>
      </w:pPr>
      <w:r>
        <w:t>JOINT SEALANTS</w:t>
      </w:r>
    </w:p>
    <w:p w:rsidR="00A666B3" w:rsidRDefault="00A666B3" w:rsidP="004A2D0A">
      <w:pPr>
        <w:pStyle w:val="BodyText"/>
        <w:spacing w:line="226" w:lineRule="exact"/>
        <w:ind w:left="2157" w:right="2057"/>
        <w:jc w:val="center"/>
      </w:pPr>
      <w:r>
        <w:t>07/18</w:t>
      </w:r>
    </w:p>
    <w:p w:rsidR="00E24CAD" w:rsidRDefault="00E24CAD">
      <w:pPr>
        <w:pStyle w:val="BodyText"/>
        <w:rPr>
          <w:b/>
          <w:sz w:val="22"/>
        </w:rPr>
      </w:pPr>
    </w:p>
    <w:p w:rsidR="002F7635" w:rsidRDefault="002F7635" w:rsidP="002F7635">
      <w:pPr>
        <w:pStyle w:val="BodyText"/>
        <w:spacing w:before="1"/>
        <w:ind w:left="399"/>
      </w:pPr>
    </w:p>
    <w:p w:rsidR="00E24CAD" w:rsidRDefault="0097373B" w:rsidP="002F7635">
      <w:pPr>
        <w:pStyle w:val="BodyText"/>
        <w:spacing w:before="1"/>
        <w:ind w:left="399"/>
      </w:pPr>
      <w:r>
        <w:t>PART</w:t>
      </w:r>
      <w:r>
        <w:rPr>
          <w:spacing w:val="-1"/>
        </w:rPr>
        <w:t xml:space="preserve"> </w:t>
      </w:r>
      <w:r>
        <w:t>1</w:t>
      </w:r>
      <w:r>
        <w:tab/>
        <w:t>GENERAL</w:t>
      </w:r>
    </w:p>
    <w:p w:rsidR="00E24CAD" w:rsidRDefault="00E24CAD">
      <w:pPr>
        <w:pStyle w:val="BodyText"/>
        <w:spacing w:before="9"/>
        <w:rPr>
          <w:sz w:val="18"/>
        </w:rPr>
      </w:pPr>
    </w:p>
    <w:p w:rsidR="00E24CAD" w:rsidRDefault="0097373B">
      <w:pPr>
        <w:pStyle w:val="ListParagraph"/>
        <w:numPr>
          <w:ilvl w:val="1"/>
          <w:numId w:val="8"/>
        </w:numPr>
        <w:tabs>
          <w:tab w:val="left" w:pos="900"/>
          <w:tab w:val="left" w:pos="901"/>
        </w:tabs>
        <w:ind w:hanging="720"/>
        <w:rPr>
          <w:sz w:val="20"/>
        </w:rPr>
      </w:pPr>
      <w:r>
        <w:rPr>
          <w:sz w:val="20"/>
        </w:rPr>
        <w:t>REFERENCES</w:t>
      </w:r>
    </w:p>
    <w:p w:rsidR="00E24CAD" w:rsidRDefault="00E24CAD">
      <w:pPr>
        <w:pStyle w:val="BodyText"/>
        <w:spacing w:before="7"/>
        <w:rPr>
          <w:sz w:val="19"/>
        </w:rPr>
      </w:pPr>
    </w:p>
    <w:p w:rsidR="00E24CAD" w:rsidRDefault="00E24CAD">
      <w:pPr>
        <w:spacing w:line="223" w:lineRule="exact"/>
        <w:ind w:left="360"/>
        <w:rPr>
          <w:b/>
          <w:sz w:val="20"/>
        </w:rPr>
      </w:pPr>
    </w:p>
    <w:p w:rsidR="00E24CAD" w:rsidRDefault="00E24CAD">
      <w:pPr>
        <w:pStyle w:val="BodyText"/>
        <w:spacing w:before="8"/>
        <w:rPr>
          <w:b/>
          <w:sz w:val="18"/>
        </w:rPr>
      </w:pPr>
    </w:p>
    <w:p w:rsidR="00E24CAD" w:rsidRDefault="0097373B">
      <w:pPr>
        <w:pStyle w:val="BodyText"/>
        <w:tabs>
          <w:tab w:val="left" w:pos="2798"/>
        </w:tabs>
        <w:spacing w:line="232" w:lineRule="auto"/>
        <w:ind w:left="399" w:right="21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rsidR="00E24CAD" w:rsidRDefault="00E24CAD">
      <w:pPr>
        <w:pStyle w:val="BodyText"/>
        <w:spacing w:before="2"/>
        <w:rPr>
          <w:sz w:val="19"/>
        </w:rPr>
      </w:pPr>
    </w:p>
    <w:p w:rsidR="00E24CAD" w:rsidRDefault="0097373B">
      <w:pPr>
        <w:pStyle w:val="BodyText"/>
        <w:ind w:left="1400"/>
      </w:pPr>
      <w:r>
        <w:t>ASTM INTERNATIONAL (ASTM)</w:t>
      </w:r>
    </w:p>
    <w:p w:rsidR="00E24CAD" w:rsidRDefault="00E24CAD">
      <w:pPr>
        <w:pStyle w:val="BodyText"/>
        <w:spacing w:before="2"/>
        <w:rPr>
          <w:sz w:val="19"/>
        </w:rPr>
      </w:pPr>
    </w:p>
    <w:p w:rsidR="00E24CAD" w:rsidRDefault="0097373B">
      <w:pPr>
        <w:pStyle w:val="BodyText"/>
        <w:tabs>
          <w:tab w:val="left" w:pos="4279"/>
        </w:tabs>
        <w:spacing w:line="232" w:lineRule="auto"/>
        <w:ind w:left="4279" w:right="778" w:hanging="3881"/>
      </w:pPr>
      <w:r>
        <w:t>ASTM</w:t>
      </w:r>
      <w:r>
        <w:rPr>
          <w:spacing w:val="-2"/>
        </w:rPr>
        <w:t xml:space="preserve"> </w:t>
      </w:r>
      <w:r>
        <w:t>C1193</w:t>
      </w:r>
      <w:r>
        <w:tab/>
        <w:t>(2013) Standard Guide for Use of Joint Sealants</w:t>
      </w:r>
    </w:p>
    <w:p w:rsidR="00E24CAD" w:rsidRDefault="00E24CAD">
      <w:pPr>
        <w:pStyle w:val="BodyText"/>
        <w:spacing w:before="5"/>
        <w:rPr>
          <w:sz w:val="19"/>
        </w:rPr>
      </w:pPr>
    </w:p>
    <w:p w:rsidR="00E24CAD" w:rsidRDefault="0097373B">
      <w:pPr>
        <w:pStyle w:val="BodyText"/>
        <w:tabs>
          <w:tab w:val="left" w:pos="4279"/>
        </w:tabs>
        <w:spacing w:line="232" w:lineRule="auto"/>
        <w:ind w:left="4279" w:right="418" w:hanging="3881"/>
      </w:pPr>
      <w:r>
        <w:t>ASTM</w:t>
      </w:r>
      <w:r>
        <w:rPr>
          <w:spacing w:val="-2"/>
        </w:rPr>
        <w:t xml:space="preserve"> </w:t>
      </w:r>
      <w:r>
        <w:t>C1311</w:t>
      </w:r>
      <w:r>
        <w:tab/>
        <w:t>(2014) Standard Specification for Solvent Release</w:t>
      </w:r>
      <w:r>
        <w:rPr>
          <w:spacing w:val="-1"/>
        </w:rPr>
        <w:t xml:space="preserve"> </w:t>
      </w:r>
      <w:r>
        <w:t>Agents</w:t>
      </w:r>
    </w:p>
    <w:p w:rsidR="00E24CAD" w:rsidRDefault="00E24CAD">
      <w:pPr>
        <w:pStyle w:val="BodyText"/>
        <w:spacing w:before="5"/>
        <w:rPr>
          <w:sz w:val="19"/>
        </w:rPr>
      </w:pPr>
    </w:p>
    <w:p w:rsidR="00E24CAD" w:rsidRDefault="0097373B">
      <w:pPr>
        <w:pStyle w:val="BodyText"/>
        <w:tabs>
          <w:tab w:val="left" w:pos="4279"/>
        </w:tabs>
        <w:spacing w:before="1" w:line="232" w:lineRule="auto"/>
        <w:ind w:left="4279" w:right="658" w:hanging="3881"/>
      </w:pPr>
      <w:r>
        <w:t>ASTM</w:t>
      </w:r>
      <w:r>
        <w:rPr>
          <w:spacing w:val="-2"/>
        </w:rPr>
        <w:t xml:space="preserve"> </w:t>
      </w:r>
      <w:r>
        <w:t>C1521</w:t>
      </w:r>
      <w:r>
        <w:tab/>
        <w:t>(2013) Standard Practice for Evaluating Adhesion of Installed Weatherproofing Sealant</w:t>
      </w:r>
      <w:r>
        <w:rPr>
          <w:spacing w:val="-1"/>
        </w:rPr>
        <w:t xml:space="preserve"> </w:t>
      </w:r>
      <w:r>
        <w:t>Joints</w:t>
      </w:r>
    </w:p>
    <w:p w:rsidR="00E24CAD" w:rsidRDefault="00E24CAD">
      <w:pPr>
        <w:pStyle w:val="BodyText"/>
        <w:spacing w:before="6"/>
        <w:rPr>
          <w:sz w:val="19"/>
        </w:rPr>
      </w:pPr>
    </w:p>
    <w:p w:rsidR="00E24CAD" w:rsidRDefault="0097373B">
      <w:pPr>
        <w:pStyle w:val="BodyText"/>
        <w:tabs>
          <w:tab w:val="left" w:pos="4279"/>
        </w:tabs>
        <w:spacing w:line="232" w:lineRule="auto"/>
        <w:ind w:left="4279" w:right="898" w:hanging="3881"/>
      </w:pPr>
      <w:r>
        <w:t>ASTM</w:t>
      </w:r>
      <w:r>
        <w:rPr>
          <w:spacing w:val="-1"/>
        </w:rPr>
        <w:t xml:space="preserve"> </w:t>
      </w:r>
      <w:r>
        <w:t>C509</w:t>
      </w:r>
      <w:r>
        <w:tab/>
        <w:t>(2006; R 2015) Elastomeric Cellular Preformed Gasket and Sealing</w:t>
      </w:r>
      <w:r>
        <w:rPr>
          <w:spacing w:val="-8"/>
        </w:rPr>
        <w:t xml:space="preserve"> </w:t>
      </w:r>
      <w:r>
        <w:t>Material</w:t>
      </w:r>
    </w:p>
    <w:p w:rsidR="00E24CAD" w:rsidRDefault="00E24CAD">
      <w:pPr>
        <w:pStyle w:val="BodyText"/>
        <w:spacing w:before="5"/>
        <w:rPr>
          <w:sz w:val="19"/>
        </w:rPr>
      </w:pPr>
    </w:p>
    <w:p w:rsidR="00E24CAD" w:rsidRDefault="0097373B">
      <w:pPr>
        <w:pStyle w:val="BodyText"/>
        <w:tabs>
          <w:tab w:val="left" w:pos="4279"/>
        </w:tabs>
        <w:spacing w:line="232" w:lineRule="auto"/>
        <w:ind w:left="4279" w:right="298" w:hanging="3881"/>
      </w:pPr>
      <w:r>
        <w:t>ASTM</w:t>
      </w:r>
      <w:r>
        <w:rPr>
          <w:spacing w:val="-1"/>
        </w:rPr>
        <w:t xml:space="preserve"> </w:t>
      </w:r>
      <w:r>
        <w:t>C734</w:t>
      </w:r>
      <w:r>
        <w:tab/>
        <w:t>(2015) Low-Temperature</w:t>
      </w:r>
      <w:r w:rsidR="00D301CB">
        <w:t xml:space="preserve"> Flexibility of Latex Sealants a</w:t>
      </w:r>
      <w:r>
        <w:t>fter Artificial</w:t>
      </w:r>
      <w:r>
        <w:rPr>
          <w:spacing w:val="-9"/>
        </w:rPr>
        <w:t xml:space="preserve"> </w:t>
      </w:r>
      <w:r>
        <w:t>Weathering</w:t>
      </w:r>
    </w:p>
    <w:p w:rsidR="00E24CAD" w:rsidRDefault="00E24CAD">
      <w:pPr>
        <w:pStyle w:val="BodyText"/>
        <w:spacing w:before="5"/>
        <w:rPr>
          <w:sz w:val="19"/>
        </w:rPr>
      </w:pPr>
    </w:p>
    <w:p w:rsidR="00E24CAD" w:rsidRDefault="0097373B">
      <w:pPr>
        <w:pStyle w:val="BodyText"/>
        <w:tabs>
          <w:tab w:val="left" w:pos="4279"/>
        </w:tabs>
        <w:spacing w:line="232" w:lineRule="auto"/>
        <w:ind w:left="4279" w:right="658" w:hanging="3881"/>
      </w:pPr>
      <w:r>
        <w:t>ASTM</w:t>
      </w:r>
      <w:r>
        <w:rPr>
          <w:spacing w:val="-1"/>
        </w:rPr>
        <w:t xml:space="preserve"> </w:t>
      </w:r>
      <w:r>
        <w:t>C834</w:t>
      </w:r>
      <w:r>
        <w:tab/>
        <w:t>(2017) Standard Specification for Latex Sealants</w:t>
      </w:r>
    </w:p>
    <w:p w:rsidR="00E24CAD" w:rsidRDefault="00E24CAD">
      <w:pPr>
        <w:pStyle w:val="BodyText"/>
        <w:spacing w:before="5"/>
        <w:rPr>
          <w:sz w:val="19"/>
        </w:rPr>
      </w:pPr>
    </w:p>
    <w:p w:rsidR="00E24CAD" w:rsidRDefault="0097373B">
      <w:pPr>
        <w:pStyle w:val="BodyText"/>
        <w:tabs>
          <w:tab w:val="left" w:pos="4279"/>
        </w:tabs>
        <w:spacing w:before="1" w:line="232" w:lineRule="auto"/>
        <w:ind w:left="4279" w:right="538" w:hanging="3881"/>
      </w:pPr>
      <w:r>
        <w:t>ASTM</w:t>
      </w:r>
      <w:r>
        <w:rPr>
          <w:spacing w:val="-1"/>
        </w:rPr>
        <w:t xml:space="preserve"> </w:t>
      </w:r>
      <w:r>
        <w:t>C919</w:t>
      </w:r>
      <w:r>
        <w:tab/>
        <w:t>(2012; R 2017) Standard Practice for Use of Sealants in Acoustical</w:t>
      </w:r>
      <w:r>
        <w:rPr>
          <w:spacing w:val="-6"/>
        </w:rPr>
        <w:t xml:space="preserve"> </w:t>
      </w:r>
      <w:r>
        <w:t>Applications</w:t>
      </w:r>
    </w:p>
    <w:p w:rsidR="00E24CAD" w:rsidRDefault="00E24CAD">
      <w:pPr>
        <w:pStyle w:val="BodyText"/>
        <w:spacing w:before="5"/>
        <w:rPr>
          <w:sz w:val="19"/>
        </w:rPr>
      </w:pPr>
    </w:p>
    <w:p w:rsidR="00E24CAD" w:rsidRDefault="0097373B">
      <w:pPr>
        <w:pStyle w:val="BodyText"/>
        <w:tabs>
          <w:tab w:val="left" w:pos="4279"/>
        </w:tabs>
        <w:spacing w:line="232" w:lineRule="auto"/>
        <w:ind w:left="4279" w:right="1378" w:hanging="3881"/>
      </w:pPr>
      <w:r>
        <w:t>ASTM</w:t>
      </w:r>
      <w:r>
        <w:rPr>
          <w:spacing w:val="-1"/>
        </w:rPr>
        <w:t xml:space="preserve"> </w:t>
      </w:r>
      <w:r>
        <w:t>C920</w:t>
      </w:r>
      <w:r>
        <w:tab/>
        <w:t>(2018) Standard Specification for Elastomeric Joint</w:t>
      </w:r>
      <w:r>
        <w:rPr>
          <w:spacing w:val="-2"/>
        </w:rPr>
        <w:t xml:space="preserve"> </w:t>
      </w:r>
      <w:r>
        <w:t>Sealants</w:t>
      </w:r>
    </w:p>
    <w:p w:rsidR="00E24CAD" w:rsidRDefault="00E24CAD">
      <w:pPr>
        <w:pStyle w:val="BodyText"/>
        <w:spacing w:before="5"/>
        <w:rPr>
          <w:sz w:val="19"/>
        </w:rPr>
      </w:pPr>
    </w:p>
    <w:p w:rsidR="00E24CAD" w:rsidRDefault="0097373B">
      <w:pPr>
        <w:pStyle w:val="BodyText"/>
        <w:tabs>
          <w:tab w:val="left" w:pos="4279"/>
        </w:tabs>
        <w:spacing w:line="232" w:lineRule="auto"/>
        <w:ind w:left="4279" w:right="298" w:hanging="3881"/>
      </w:pPr>
      <w:r>
        <w:t>ASTM</w:t>
      </w:r>
      <w:r>
        <w:rPr>
          <w:spacing w:val="-2"/>
        </w:rPr>
        <w:t xml:space="preserve"> </w:t>
      </w:r>
      <w:r>
        <w:t>D1056</w:t>
      </w:r>
      <w:r>
        <w:tab/>
        <w:t>(2014) Standard Specification for Flexible Cellular Materials - Sponge or Expanded Rubber</w:t>
      </w:r>
    </w:p>
    <w:p w:rsidR="00E24CAD" w:rsidRDefault="00E24CAD">
      <w:pPr>
        <w:spacing w:line="232" w:lineRule="auto"/>
      </w:pPr>
    </w:p>
    <w:p w:rsidR="002F7635" w:rsidRDefault="002F7635">
      <w:pPr>
        <w:spacing w:line="232" w:lineRule="auto"/>
      </w:pPr>
    </w:p>
    <w:p w:rsidR="00E24CAD" w:rsidRDefault="0097373B">
      <w:pPr>
        <w:pStyle w:val="BodyText"/>
        <w:tabs>
          <w:tab w:val="left" w:pos="4279"/>
        </w:tabs>
        <w:spacing w:before="153" w:line="232" w:lineRule="auto"/>
        <w:ind w:left="4279" w:right="298" w:hanging="3881"/>
        <w:jc w:val="both"/>
      </w:pPr>
      <w:r>
        <w:t>ASTM</w:t>
      </w:r>
      <w:r>
        <w:rPr>
          <w:spacing w:val="-2"/>
        </w:rPr>
        <w:t xml:space="preserve"> </w:t>
      </w:r>
      <w:r>
        <w:t>D1667</w:t>
      </w:r>
      <w:r>
        <w:tab/>
        <w:t>(2017) Standard Specification for Flexible Cellular Materials - Poly (Vinyl Chloride) Foam</w:t>
      </w:r>
      <w:r>
        <w:rPr>
          <w:spacing w:val="-1"/>
        </w:rPr>
        <w:t xml:space="preserve"> </w:t>
      </w:r>
      <w:r>
        <w:t>(Closed-Cell)</w:t>
      </w:r>
    </w:p>
    <w:p w:rsidR="00E24CAD" w:rsidRDefault="00E24CAD">
      <w:pPr>
        <w:pStyle w:val="BodyText"/>
        <w:spacing w:before="6"/>
        <w:rPr>
          <w:sz w:val="19"/>
        </w:rPr>
      </w:pPr>
    </w:p>
    <w:p w:rsidR="00E24CAD" w:rsidRDefault="00E24CAD">
      <w:pPr>
        <w:pStyle w:val="BodyText"/>
        <w:spacing w:before="5"/>
        <w:rPr>
          <w:sz w:val="19"/>
        </w:rPr>
      </w:pPr>
    </w:p>
    <w:p w:rsidR="00E24CAD" w:rsidRDefault="0097373B">
      <w:pPr>
        <w:pStyle w:val="BodyText"/>
        <w:tabs>
          <w:tab w:val="left" w:pos="4279"/>
        </w:tabs>
        <w:spacing w:line="232" w:lineRule="auto"/>
        <w:ind w:left="4279" w:right="1018" w:hanging="3881"/>
      </w:pPr>
      <w:r>
        <w:t>ASTM</w:t>
      </w:r>
      <w:r>
        <w:rPr>
          <w:spacing w:val="-2"/>
        </w:rPr>
        <w:t xml:space="preserve"> </w:t>
      </w:r>
      <w:r>
        <w:t>D2452</w:t>
      </w:r>
      <w:r>
        <w:tab/>
        <w:t xml:space="preserve">(2015) Standard Test Method for Extrudability of Oil- and Resin-Base </w:t>
      </w:r>
      <w:r>
        <w:lastRenderedPageBreak/>
        <w:t>Caulking</w:t>
      </w:r>
      <w:r>
        <w:rPr>
          <w:spacing w:val="-1"/>
        </w:rPr>
        <w:t xml:space="preserve"> </w:t>
      </w:r>
      <w:r>
        <w:t>Compounds</w:t>
      </w:r>
    </w:p>
    <w:p w:rsidR="00E24CAD" w:rsidRDefault="00E24CAD">
      <w:pPr>
        <w:pStyle w:val="BodyText"/>
        <w:spacing w:before="6"/>
        <w:rPr>
          <w:sz w:val="19"/>
        </w:rPr>
      </w:pPr>
    </w:p>
    <w:p w:rsidR="00E24CAD" w:rsidRDefault="0097373B">
      <w:pPr>
        <w:pStyle w:val="BodyText"/>
        <w:tabs>
          <w:tab w:val="left" w:pos="4279"/>
        </w:tabs>
        <w:spacing w:line="232" w:lineRule="auto"/>
        <w:ind w:left="4279" w:right="418" w:hanging="3881"/>
      </w:pPr>
      <w:r>
        <w:t>ASTM</w:t>
      </w:r>
      <w:r>
        <w:rPr>
          <w:spacing w:val="-2"/>
        </w:rPr>
        <w:t xml:space="preserve"> </w:t>
      </w:r>
      <w:r>
        <w:t>D2453</w:t>
      </w:r>
      <w:r>
        <w:tab/>
        <w:t>(2015) Standard Test Method for Shrinkage and Tenacity of Oil- and Resin-Base Caulking</w:t>
      </w:r>
      <w:r>
        <w:rPr>
          <w:spacing w:val="-1"/>
        </w:rPr>
        <w:t xml:space="preserve"> </w:t>
      </w:r>
      <w:r>
        <w:t>Compounds</w:t>
      </w:r>
    </w:p>
    <w:p w:rsidR="00E24CAD" w:rsidRDefault="00E24CAD">
      <w:pPr>
        <w:pStyle w:val="BodyText"/>
        <w:spacing w:before="4"/>
        <w:rPr>
          <w:sz w:val="19"/>
        </w:rPr>
      </w:pPr>
    </w:p>
    <w:p w:rsidR="00E24CAD" w:rsidRDefault="0097373B">
      <w:pPr>
        <w:pStyle w:val="BodyText"/>
        <w:tabs>
          <w:tab w:val="left" w:pos="4279"/>
        </w:tabs>
        <w:spacing w:line="232" w:lineRule="auto"/>
        <w:ind w:left="4279" w:right="658" w:hanging="3881"/>
      </w:pPr>
      <w:r>
        <w:t>ASTM</w:t>
      </w:r>
      <w:r>
        <w:rPr>
          <w:spacing w:val="-1"/>
        </w:rPr>
        <w:t xml:space="preserve"> </w:t>
      </w:r>
      <w:r>
        <w:t>E84</w:t>
      </w:r>
      <w:r>
        <w:tab/>
        <w:t>(2018) Standard Test Method for Surface Burning Characteristics of Building Materials</w:t>
      </w:r>
    </w:p>
    <w:p w:rsidR="00E24CAD" w:rsidRDefault="00E24CAD">
      <w:pPr>
        <w:pStyle w:val="BodyText"/>
        <w:spacing w:before="1"/>
        <w:rPr>
          <w:sz w:val="19"/>
        </w:rPr>
      </w:pPr>
    </w:p>
    <w:p w:rsidR="00E24CAD" w:rsidRDefault="0097373B">
      <w:pPr>
        <w:pStyle w:val="BodyText"/>
        <w:ind w:left="1400"/>
      </w:pPr>
      <w:r>
        <w:t>SCIENTIFIC CERTIFICATION SYSTEMS (SCS)</w:t>
      </w:r>
    </w:p>
    <w:p w:rsidR="00E24CAD" w:rsidRDefault="00E24CAD">
      <w:pPr>
        <w:pStyle w:val="BodyText"/>
        <w:spacing w:before="9"/>
        <w:rPr>
          <w:sz w:val="18"/>
        </w:rPr>
      </w:pPr>
    </w:p>
    <w:p w:rsidR="00E24CAD" w:rsidRDefault="0097373B">
      <w:pPr>
        <w:pStyle w:val="BodyText"/>
        <w:tabs>
          <w:tab w:val="left" w:pos="4279"/>
        </w:tabs>
        <w:spacing w:line="465" w:lineRule="auto"/>
        <w:ind w:left="1400" w:right="418" w:hanging="1001"/>
      </w:pPr>
      <w:r>
        <w:t>SCS</w:t>
      </w:r>
      <w:r>
        <w:tab/>
      </w:r>
      <w:r>
        <w:tab/>
        <w:t>SCS Global Services (SCS)</w:t>
      </w:r>
      <w:r w:rsidR="00AD793D">
        <w:t xml:space="preserve"> </w:t>
      </w:r>
      <w:r>
        <w:t>Indoor Advantage SOUTH COAST AIR QUALITY MANAGEMENT DISTRICT</w:t>
      </w:r>
      <w:r>
        <w:rPr>
          <w:spacing w:val="-4"/>
        </w:rPr>
        <w:t xml:space="preserve"> </w:t>
      </w:r>
      <w:r>
        <w:t>(SCAQMD)</w:t>
      </w:r>
    </w:p>
    <w:p w:rsidR="00E24CAD" w:rsidRDefault="0097373B">
      <w:pPr>
        <w:pStyle w:val="BodyText"/>
        <w:tabs>
          <w:tab w:val="left" w:pos="4279"/>
        </w:tabs>
        <w:spacing w:before="1" w:line="465" w:lineRule="auto"/>
        <w:ind w:left="1400" w:right="538" w:hanging="1001"/>
      </w:pPr>
      <w:r>
        <w:t>SCAQMD</w:t>
      </w:r>
      <w:r>
        <w:rPr>
          <w:spacing w:val="-2"/>
        </w:rPr>
        <w:t xml:space="preserve"> </w:t>
      </w:r>
      <w:r>
        <w:t>Rule</w:t>
      </w:r>
      <w:r>
        <w:rPr>
          <w:spacing w:val="-2"/>
        </w:rPr>
        <w:t xml:space="preserve"> </w:t>
      </w:r>
      <w:r>
        <w:t>1168</w:t>
      </w:r>
      <w:r>
        <w:tab/>
        <w:t>(2017) Adhesive and Sealant Applications UNDERWRITERS LABORATORIES</w:t>
      </w:r>
      <w:r>
        <w:rPr>
          <w:spacing w:val="-1"/>
        </w:rPr>
        <w:t xml:space="preserve"> </w:t>
      </w:r>
      <w:r>
        <w:t>(UL)</w:t>
      </w:r>
    </w:p>
    <w:p w:rsidR="00E24CAD" w:rsidRDefault="0097373B">
      <w:pPr>
        <w:pStyle w:val="BodyText"/>
        <w:tabs>
          <w:tab w:val="left" w:pos="4279"/>
        </w:tabs>
        <w:spacing w:before="5" w:line="232" w:lineRule="auto"/>
        <w:ind w:left="4279" w:right="658" w:hanging="3881"/>
      </w:pPr>
      <w:r>
        <w:t>UL</w:t>
      </w:r>
      <w:r>
        <w:rPr>
          <w:spacing w:val="-1"/>
        </w:rPr>
        <w:t xml:space="preserve"> </w:t>
      </w:r>
      <w:r>
        <w:t>2818</w:t>
      </w:r>
      <w:r>
        <w:tab/>
        <w:t xml:space="preserve">(2013) GREENGUARD Certification </w:t>
      </w:r>
      <w:r w:rsidR="00AD793D">
        <w:t>Program For Chemical Emissions f</w:t>
      </w:r>
      <w:r>
        <w:t>o</w:t>
      </w:r>
      <w:r w:rsidR="00AD793D">
        <w:t>r Building Materials, Finishes a</w:t>
      </w:r>
      <w:r>
        <w:t>nd</w:t>
      </w:r>
      <w:r>
        <w:rPr>
          <w:spacing w:val="-4"/>
        </w:rPr>
        <w:t xml:space="preserve"> </w:t>
      </w:r>
      <w:r>
        <w:t>Furnishings</w:t>
      </w:r>
    </w:p>
    <w:p w:rsidR="00E24CAD" w:rsidRDefault="00E24CAD">
      <w:pPr>
        <w:pStyle w:val="BodyText"/>
        <w:spacing w:before="3"/>
        <w:rPr>
          <w:sz w:val="10"/>
        </w:rPr>
      </w:pPr>
    </w:p>
    <w:p w:rsidR="00E24CAD" w:rsidRDefault="0097373B">
      <w:pPr>
        <w:pStyle w:val="ListParagraph"/>
        <w:numPr>
          <w:ilvl w:val="1"/>
          <w:numId w:val="8"/>
        </w:numPr>
        <w:tabs>
          <w:tab w:val="left" w:pos="900"/>
          <w:tab w:val="left" w:pos="901"/>
        </w:tabs>
        <w:spacing w:before="100"/>
        <w:ind w:hanging="720"/>
        <w:rPr>
          <w:sz w:val="20"/>
        </w:rPr>
      </w:pPr>
      <w:r>
        <w:rPr>
          <w:sz w:val="20"/>
        </w:rPr>
        <w:t>SUBMITTALS</w:t>
      </w:r>
    </w:p>
    <w:p w:rsidR="00E24CAD" w:rsidRDefault="00E24CAD">
      <w:pPr>
        <w:pStyle w:val="BodyText"/>
        <w:spacing w:before="7"/>
        <w:rPr>
          <w:sz w:val="19"/>
        </w:rPr>
      </w:pPr>
    </w:p>
    <w:p w:rsidR="000C0E83" w:rsidRDefault="000C0E83" w:rsidP="000C0E83">
      <w:pPr>
        <w:pStyle w:val="BodyText"/>
        <w:spacing w:line="232" w:lineRule="auto"/>
        <w:ind w:left="319" w:right="90"/>
      </w:pPr>
      <w:r>
        <w:t>**************************************************************************</w:t>
      </w:r>
    </w:p>
    <w:p w:rsidR="000C0E83" w:rsidRDefault="000C0E83" w:rsidP="000C0E83">
      <w:pPr>
        <w:pStyle w:val="BodyText"/>
        <w:spacing w:line="232" w:lineRule="auto"/>
        <w:ind w:left="319" w:right="9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rsidR="000C0E83" w:rsidRPr="000C0E83" w:rsidRDefault="000C0E83" w:rsidP="000C0E83">
      <w:pPr>
        <w:pStyle w:val="BodyText"/>
        <w:spacing w:line="232" w:lineRule="auto"/>
        <w:ind w:left="319" w:right="90"/>
      </w:pPr>
      <w:r>
        <w:t>**************************************************************************</w:t>
      </w:r>
    </w:p>
    <w:p w:rsidR="00E24CAD" w:rsidRDefault="00E24CAD">
      <w:pPr>
        <w:pStyle w:val="BodyText"/>
        <w:rPr>
          <w:b/>
          <w:sz w:val="19"/>
        </w:rPr>
      </w:pPr>
    </w:p>
    <w:p w:rsidR="00E24CAD" w:rsidRDefault="0097373B">
      <w:pPr>
        <w:pStyle w:val="BodyText"/>
        <w:tabs>
          <w:tab w:val="left" w:pos="2559"/>
          <w:tab w:val="left" w:pos="3638"/>
          <w:tab w:val="left" w:pos="4479"/>
        </w:tabs>
        <w:spacing w:line="232" w:lineRule="auto"/>
        <w:ind w:left="399" w:right="219"/>
      </w:pPr>
      <w:r>
        <w:t>Government approval is required for submittals with a "G" designation; submittals no</w:t>
      </w:r>
      <w:r w:rsidR="002F7635">
        <w:t xml:space="preserve">t having a "G" designation are </w:t>
      </w:r>
      <w:r>
        <w:t>for Contractor Quality</w:t>
      </w:r>
      <w:r>
        <w:rPr>
          <w:spacing w:val="-16"/>
        </w:rPr>
        <w:t xml:space="preserve"> </w:t>
      </w:r>
      <w:r>
        <w:t>Control appro</w:t>
      </w:r>
      <w:r w:rsidR="002F7635">
        <w:t xml:space="preserve">val.  </w:t>
      </w:r>
      <w:r>
        <w:t>When used, a designation following the "G" designation identifies the office that will review the submittal for the</w:t>
      </w:r>
      <w:r>
        <w:rPr>
          <w:spacing w:val="-2"/>
        </w:rPr>
        <w:t xml:space="preserve"> </w:t>
      </w:r>
      <w:r w:rsidR="002F7635">
        <w:t xml:space="preserve">Government. </w:t>
      </w:r>
      <w:r>
        <w:t xml:space="preserve">Submittals with an "S" are for inclusion in the </w:t>
      </w:r>
      <w:r w:rsidR="000C0E83">
        <w:t>[</w:t>
      </w:r>
      <w:r>
        <w:t>Sustainability e</w:t>
      </w:r>
      <w:r w:rsidR="00AD793D">
        <w:t>-</w:t>
      </w:r>
      <w:r>
        <w:t>Notebook, in conformance with Section 01 33 29 SUSTAINABILITY</w:t>
      </w:r>
      <w:r>
        <w:rPr>
          <w:spacing w:val="-3"/>
        </w:rPr>
        <w:t xml:space="preserve"> </w:t>
      </w:r>
      <w:r>
        <w:t>REPORTING</w:t>
      </w:r>
      <w:r w:rsidR="000C0E83">
        <w:t>]</w:t>
      </w:r>
      <w:r w:rsidR="00BB15D9">
        <w:t xml:space="preserve"> </w:t>
      </w:r>
      <w:r w:rsidR="000C0E83">
        <w:t>[Environmental Records Binder in conformance to Section 01 57 19 TEMPORARY ENVIRONMENTAL CONTROLS]</w:t>
      </w:r>
      <w:r>
        <w:t>.</w:t>
      </w:r>
      <w:r>
        <w:tab/>
        <w:t>Submit the following in accordance with Section 01 33 00 SUBMITTAL</w:t>
      </w:r>
      <w:r>
        <w:rPr>
          <w:spacing w:val="-1"/>
        </w:rPr>
        <w:t xml:space="preserve"> </w:t>
      </w:r>
      <w:r>
        <w:t>PROCEDURES:</w:t>
      </w:r>
    </w:p>
    <w:p w:rsidR="00E24CAD" w:rsidRDefault="00E24CAD">
      <w:pPr>
        <w:pStyle w:val="BodyText"/>
        <w:spacing w:before="1"/>
        <w:rPr>
          <w:sz w:val="19"/>
        </w:rPr>
      </w:pPr>
    </w:p>
    <w:p w:rsidR="000C0E83" w:rsidRDefault="000C0E83" w:rsidP="002F7635">
      <w:pPr>
        <w:pStyle w:val="BodyText"/>
        <w:tabs>
          <w:tab w:val="left" w:pos="3799"/>
        </w:tabs>
        <w:spacing w:line="465" w:lineRule="auto"/>
        <w:ind w:left="1400" w:right="5578" w:hanging="500"/>
      </w:pPr>
      <w:r>
        <w:t>SD-01</w:t>
      </w:r>
    </w:p>
    <w:p w:rsidR="000C0E83" w:rsidRDefault="000C0E83" w:rsidP="00AC3D84">
      <w:pPr>
        <w:pStyle w:val="BodyText"/>
        <w:spacing w:line="224" w:lineRule="exact"/>
        <w:ind w:left="1400"/>
      </w:pPr>
      <w:r>
        <w:t xml:space="preserve">Interior </w:t>
      </w:r>
      <w:r w:rsidR="00AC3D84">
        <w:t xml:space="preserve">Adhesives and Sealants (VOC Content); </w:t>
      </w:r>
      <w:r>
        <w:t>S</w:t>
      </w:r>
    </w:p>
    <w:p w:rsidR="00AC3D84" w:rsidRDefault="00AC3D84" w:rsidP="00AC3D84">
      <w:pPr>
        <w:pStyle w:val="BodyText"/>
        <w:spacing w:line="224" w:lineRule="exact"/>
        <w:ind w:left="1400"/>
      </w:pPr>
    </w:p>
    <w:p w:rsidR="00AD793D" w:rsidRDefault="0097373B" w:rsidP="002F7635">
      <w:pPr>
        <w:pStyle w:val="BodyText"/>
        <w:tabs>
          <w:tab w:val="left" w:pos="3799"/>
        </w:tabs>
        <w:spacing w:line="465" w:lineRule="auto"/>
        <w:ind w:left="1400" w:right="5578" w:hanging="500"/>
        <w:rPr>
          <w:spacing w:val="-2"/>
        </w:rPr>
      </w:pPr>
      <w:r>
        <w:t>SD-03 Product Data Sealants;</w:t>
      </w:r>
      <w:r w:rsidR="00AD793D">
        <w:t xml:space="preserve"> G</w:t>
      </w:r>
      <w:r>
        <w:t>,</w:t>
      </w:r>
      <w:r w:rsidR="00AD793D">
        <w:t xml:space="preserve"> </w:t>
      </w:r>
    </w:p>
    <w:p w:rsidR="00E24CAD" w:rsidRPr="008950C5" w:rsidRDefault="00AD793D" w:rsidP="008950C5">
      <w:pPr>
        <w:pStyle w:val="BodyText"/>
        <w:tabs>
          <w:tab w:val="left" w:pos="3799"/>
        </w:tabs>
        <w:spacing w:line="465" w:lineRule="auto"/>
        <w:ind w:left="1400" w:right="5578" w:hanging="500"/>
      </w:pPr>
      <w:r>
        <w:rPr>
          <w:spacing w:val="-2"/>
        </w:rPr>
        <w:tab/>
        <w:t>P</w:t>
      </w:r>
      <w:r w:rsidR="0097373B">
        <w:t>rimers;</w:t>
      </w:r>
      <w:r w:rsidR="0097373B">
        <w:rPr>
          <w:spacing w:val="-1"/>
        </w:rPr>
        <w:t xml:space="preserve"> </w:t>
      </w:r>
      <w:r w:rsidR="00A666B3">
        <w:t xml:space="preserve">G, </w:t>
      </w:r>
    </w:p>
    <w:p w:rsidR="00E24CAD" w:rsidRDefault="0097373B">
      <w:pPr>
        <w:pStyle w:val="BodyText"/>
        <w:tabs>
          <w:tab w:val="left" w:pos="4399"/>
        </w:tabs>
        <w:ind w:left="1400"/>
      </w:pPr>
      <w:r>
        <w:t>Bond Breakers;</w:t>
      </w:r>
      <w:r>
        <w:rPr>
          <w:spacing w:val="-3"/>
        </w:rPr>
        <w:t xml:space="preserve"> </w:t>
      </w:r>
      <w:r w:rsidR="00A666B3">
        <w:t xml:space="preserve">G, </w:t>
      </w:r>
    </w:p>
    <w:p w:rsidR="00E24CAD" w:rsidRDefault="00E24CAD">
      <w:pPr>
        <w:pStyle w:val="BodyText"/>
        <w:spacing w:before="11"/>
        <w:rPr>
          <w:sz w:val="9"/>
        </w:rPr>
      </w:pPr>
    </w:p>
    <w:p w:rsidR="00AD793D" w:rsidRDefault="0097373B" w:rsidP="00AD793D">
      <w:pPr>
        <w:pStyle w:val="BodyText"/>
        <w:tabs>
          <w:tab w:val="left" w:pos="3919"/>
        </w:tabs>
        <w:spacing w:before="100" w:line="465" w:lineRule="auto"/>
        <w:ind w:left="900" w:right="5458" w:firstLine="499"/>
      </w:pPr>
      <w:r>
        <w:t>Backstops;</w:t>
      </w:r>
      <w:r>
        <w:rPr>
          <w:spacing w:val="-2"/>
        </w:rPr>
        <w:t xml:space="preserve"> </w:t>
      </w:r>
      <w:r w:rsidR="00A666B3">
        <w:t xml:space="preserve">G, </w:t>
      </w:r>
    </w:p>
    <w:p w:rsidR="00E24CAD" w:rsidRDefault="00AD793D" w:rsidP="00AD793D">
      <w:pPr>
        <w:pStyle w:val="BodyText"/>
        <w:tabs>
          <w:tab w:val="left" w:pos="3919"/>
        </w:tabs>
        <w:spacing w:before="100" w:line="465" w:lineRule="auto"/>
        <w:ind w:right="5458"/>
      </w:pPr>
      <w:r>
        <w:t xml:space="preserve">       </w:t>
      </w:r>
      <w:r w:rsidR="0097373B">
        <w:t>SD-06 Test</w:t>
      </w:r>
      <w:r w:rsidR="0097373B">
        <w:rPr>
          <w:spacing w:val="-1"/>
        </w:rPr>
        <w:t xml:space="preserve"> </w:t>
      </w:r>
      <w:r w:rsidR="0097373B">
        <w:t>Reports</w:t>
      </w:r>
    </w:p>
    <w:p w:rsidR="009D2025" w:rsidRDefault="0097373B" w:rsidP="009D2025">
      <w:pPr>
        <w:pStyle w:val="BodyText"/>
        <w:tabs>
          <w:tab w:val="right" w:pos="4762"/>
        </w:tabs>
        <w:spacing w:before="2" w:line="465" w:lineRule="auto"/>
        <w:ind w:left="900" w:right="4858" w:firstLine="499"/>
      </w:pPr>
      <w:r>
        <w:t>Field Adhesion;</w:t>
      </w:r>
      <w:r>
        <w:rPr>
          <w:spacing w:val="-3"/>
        </w:rPr>
        <w:t xml:space="preserve"> </w:t>
      </w:r>
      <w:r w:rsidR="00A666B3">
        <w:t xml:space="preserve">G, </w:t>
      </w:r>
    </w:p>
    <w:p w:rsidR="00E24CAD" w:rsidRDefault="0097373B">
      <w:pPr>
        <w:pStyle w:val="BodyText"/>
        <w:tabs>
          <w:tab w:val="left" w:pos="4519"/>
        </w:tabs>
        <w:spacing w:before="2" w:line="465" w:lineRule="auto"/>
        <w:ind w:left="900" w:right="4858" w:firstLine="499"/>
      </w:pPr>
      <w:r>
        <w:lastRenderedPageBreak/>
        <w:t>SD-07</w:t>
      </w:r>
      <w:r>
        <w:rPr>
          <w:spacing w:val="-1"/>
        </w:rPr>
        <w:t xml:space="preserve"> </w:t>
      </w:r>
      <w:r>
        <w:t>Certificates</w:t>
      </w:r>
    </w:p>
    <w:p w:rsidR="009D2025" w:rsidRDefault="00AD793D">
      <w:pPr>
        <w:pStyle w:val="BodyText"/>
        <w:tabs>
          <w:tab w:val="left" w:pos="4999"/>
        </w:tabs>
        <w:spacing w:line="468" w:lineRule="auto"/>
        <w:ind w:left="900" w:right="4378" w:firstLine="499"/>
      </w:pPr>
      <w:r>
        <w:t xml:space="preserve">Indoor Air Quality; G, </w:t>
      </w:r>
    </w:p>
    <w:p w:rsidR="00E24CAD" w:rsidRDefault="0097373B">
      <w:pPr>
        <w:pStyle w:val="BodyText"/>
        <w:tabs>
          <w:tab w:val="left" w:pos="4999"/>
        </w:tabs>
        <w:spacing w:line="468" w:lineRule="auto"/>
        <w:ind w:left="900" w:right="4378" w:firstLine="499"/>
      </w:pPr>
      <w:r>
        <w:t>SD-11 Closeout</w:t>
      </w:r>
      <w:r>
        <w:rPr>
          <w:spacing w:val="-1"/>
        </w:rPr>
        <w:t xml:space="preserve"> </w:t>
      </w:r>
      <w:r>
        <w:t>Submittals</w:t>
      </w:r>
    </w:p>
    <w:p w:rsidR="00E24CAD" w:rsidRDefault="00AC3D84" w:rsidP="00AD793D">
      <w:pPr>
        <w:pStyle w:val="BodyText"/>
        <w:spacing w:before="1" w:line="468" w:lineRule="auto"/>
        <w:ind w:left="1400" w:right="1598"/>
      </w:pPr>
      <w:r>
        <w:t>Interior Adhesives and Sealants (VOC Content); S</w:t>
      </w:r>
    </w:p>
    <w:p w:rsidR="00E24CAD" w:rsidRDefault="00E24CAD">
      <w:pPr>
        <w:pStyle w:val="BodyText"/>
        <w:spacing w:before="9"/>
        <w:rPr>
          <w:sz w:val="18"/>
        </w:rPr>
      </w:pPr>
    </w:p>
    <w:p w:rsidR="00E24CAD" w:rsidRDefault="0097373B">
      <w:pPr>
        <w:pStyle w:val="ListParagraph"/>
        <w:numPr>
          <w:ilvl w:val="1"/>
          <w:numId w:val="8"/>
        </w:numPr>
        <w:tabs>
          <w:tab w:val="left" w:pos="900"/>
          <w:tab w:val="left" w:pos="901"/>
        </w:tabs>
        <w:ind w:hanging="720"/>
        <w:rPr>
          <w:sz w:val="20"/>
        </w:rPr>
      </w:pPr>
      <w:r>
        <w:rPr>
          <w:sz w:val="20"/>
        </w:rPr>
        <w:t>PRODUCT</w:t>
      </w:r>
      <w:r>
        <w:rPr>
          <w:spacing w:val="-1"/>
          <w:sz w:val="20"/>
        </w:rPr>
        <w:t xml:space="preserve"> </w:t>
      </w:r>
      <w:r>
        <w:rPr>
          <w:sz w:val="20"/>
        </w:rPr>
        <w:t>DATA</w:t>
      </w:r>
    </w:p>
    <w:p w:rsidR="00E24CAD" w:rsidRDefault="00E24CAD">
      <w:pPr>
        <w:pStyle w:val="BodyText"/>
        <w:spacing w:before="2"/>
        <w:rPr>
          <w:sz w:val="19"/>
        </w:rPr>
      </w:pPr>
    </w:p>
    <w:p w:rsidR="00E24CAD" w:rsidRDefault="0097373B">
      <w:pPr>
        <w:pStyle w:val="BodyText"/>
        <w:tabs>
          <w:tab w:val="left" w:pos="5438"/>
        </w:tabs>
        <w:spacing w:line="232" w:lineRule="auto"/>
        <w:ind w:left="399" w:right="459"/>
      </w:pPr>
      <w:r>
        <w:t>Include storage requirements, shelf life, curing time, instructions for mixing and application,</w:t>
      </w:r>
      <w:r>
        <w:rPr>
          <w:spacing w:val="-6"/>
        </w:rPr>
        <w:t xml:space="preserve"> </w:t>
      </w:r>
      <w:r>
        <w:t>and</w:t>
      </w:r>
      <w:r>
        <w:rPr>
          <w:spacing w:val="-2"/>
        </w:rPr>
        <w:t xml:space="preserve"> </w:t>
      </w:r>
      <w:r>
        <w:t>accessories.</w:t>
      </w:r>
      <w:r>
        <w:tab/>
        <w:t>Provide manufacturer's Safety Data Sheets (SDS) for each solvent, primer and sealant material</w:t>
      </w:r>
      <w:r>
        <w:rPr>
          <w:spacing w:val="-15"/>
        </w:rPr>
        <w:t xml:space="preserve"> </w:t>
      </w:r>
      <w:r>
        <w:t>proposed.</w:t>
      </w:r>
    </w:p>
    <w:p w:rsidR="00E24CAD" w:rsidRDefault="00E24CAD" w:rsidP="002F7635">
      <w:pPr>
        <w:spacing w:line="221" w:lineRule="exact"/>
        <w:rPr>
          <w:b/>
          <w:sz w:val="20"/>
        </w:rPr>
      </w:pPr>
    </w:p>
    <w:p w:rsidR="00E24CAD" w:rsidRDefault="00E24CAD">
      <w:pPr>
        <w:pStyle w:val="BodyText"/>
        <w:spacing w:before="6"/>
        <w:rPr>
          <w:b/>
          <w:sz w:val="18"/>
        </w:rPr>
      </w:pPr>
    </w:p>
    <w:p w:rsidR="00E24CAD" w:rsidRDefault="0097373B">
      <w:pPr>
        <w:pStyle w:val="BodyText"/>
        <w:tabs>
          <w:tab w:val="left" w:pos="1020"/>
        </w:tabs>
        <w:ind w:left="180"/>
      </w:pPr>
      <w:r>
        <w:t>1.4</w:t>
      </w:r>
      <w:r>
        <w:tab/>
        <w:t>CERTIFICATIONS</w:t>
      </w:r>
    </w:p>
    <w:p w:rsidR="00E24CAD" w:rsidRDefault="00E24CAD">
      <w:pPr>
        <w:pStyle w:val="BodyText"/>
        <w:spacing w:before="8"/>
        <w:rPr>
          <w:sz w:val="18"/>
        </w:rPr>
      </w:pPr>
    </w:p>
    <w:p w:rsidR="00E24CAD" w:rsidRDefault="0097373B">
      <w:pPr>
        <w:pStyle w:val="BodyText"/>
        <w:tabs>
          <w:tab w:val="left" w:pos="1140"/>
        </w:tabs>
        <w:spacing w:before="1"/>
        <w:ind w:left="180"/>
      </w:pPr>
      <w:r>
        <w:t>1.4.1</w:t>
      </w:r>
      <w:r>
        <w:tab/>
        <w:t>Indoor Air Quality</w:t>
      </w:r>
      <w:r>
        <w:rPr>
          <w:spacing w:val="-1"/>
        </w:rPr>
        <w:t xml:space="preserve"> </w:t>
      </w:r>
      <w:r>
        <w:t>Certifications</w:t>
      </w:r>
    </w:p>
    <w:p w:rsidR="00E24CAD" w:rsidRDefault="00E24CAD">
      <w:pPr>
        <w:pStyle w:val="BodyText"/>
        <w:spacing w:before="8"/>
        <w:rPr>
          <w:sz w:val="18"/>
        </w:rPr>
      </w:pPr>
    </w:p>
    <w:p w:rsidR="00E24CAD" w:rsidRDefault="0097373B">
      <w:pPr>
        <w:pStyle w:val="BodyText"/>
        <w:ind w:left="399"/>
      </w:pPr>
      <w:r>
        <w:t>Submit required indoor air quality certifications in one submittal package.</w:t>
      </w:r>
    </w:p>
    <w:p w:rsidR="00E24CAD" w:rsidRDefault="00E24CAD">
      <w:pPr>
        <w:pStyle w:val="BodyText"/>
        <w:rPr>
          <w:sz w:val="19"/>
        </w:rPr>
      </w:pPr>
    </w:p>
    <w:p w:rsidR="00E24CAD" w:rsidRDefault="0097373B">
      <w:pPr>
        <w:pStyle w:val="BodyText"/>
        <w:tabs>
          <w:tab w:val="left" w:pos="1380"/>
        </w:tabs>
        <w:ind w:left="180"/>
      </w:pPr>
      <w:r>
        <w:t>1.4.1.1</w:t>
      </w:r>
      <w:r>
        <w:tab/>
        <w:t>Adhesives and</w:t>
      </w:r>
      <w:r>
        <w:rPr>
          <w:spacing w:val="-1"/>
        </w:rPr>
        <w:t xml:space="preserve"> </w:t>
      </w:r>
      <w:r>
        <w:t>Sealants</w:t>
      </w:r>
    </w:p>
    <w:p w:rsidR="00E24CAD" w:rsidRDefault="00E24CAD">
      <w:pPr>
        <w:pStyle w:val="BodyText"/>
        <w:spacing w:before="2"/>
        <w:rPr>
          <w:sz w:val="19"/>
        </w:rPr>
      </w:pPr>
    </w:p>
    <w:p w:rsidR="00E24CAD" w:rsidRDefault="0097373B" w:rsidP="00382592">
      <w:pPr>
        <w:pStyle w:val="BodyText"/>
        <w:spacing w:before="1" w:line="232" w:lineRule="auto"/>
        <w:ind w:left="399" w:right="699"/>
      </w:pPr>
      <w:r>
        <w:t>Provide products certified to meet indoor air quality requirements by UL 2818 (Green</w:t>
      </w:r>
      <w:r w:rsidR="009D2025">
        <w:t xml:space="preserve"> </w:t>
      </w:r>
      <w:r>
        <w:t>guard) Gold, SCS Global Services Indoor Advantage Gold</w:t>
      </w:r>
      <w:r>
        <w:rPr>
          <w:spacing w:val="-15"/>
        </w:rPr>
        <w:t xml:space="preserve"> </w:t>
      </w:r>
      <w:r>
        <w:t>or provide validation by other third-party program that products meet</w:t>
      </w:r>
      <w:r>
        <w:rPr>
          <w:spacing w:val="-14"/>
        </w:rPr>
        <w:t xml:space="preserve"> </w:t>
      </w:r>
      <w:r>
        <w:t>the</w:t>
      </w:r>
      <w:r w:rsidR="009D2025">
        <w:t xml:space="preserve"> requirement</w:t>
      </w:r>
      <w:r>
        <w:t xml:space="preserve"> of</w:t>
      </w:r>
      <w:r>
        <w:rPr>
          <w:spacing w:val="-4"/>
        </w:rPr>
        <w:t xml:space="preserve"> </w:t>
      </w:r>
      <w:r>
        <w:t>this</w:t>
      </w:r>
      <w:r>
        <w:rPr>
          <w:spacing w:val="-2"/>
        </w:rPr>
        <w:t xml:space="preserve"> </w:t>
      </w:r>
      <w:r w:rsidR="00382592">
        <w:t xml:space="preserve">paragraph.  </w:t>
      </w:r>
      <w:r>
        <w:t>Sealants and non-aerosol adhesive</w:t>
      </w:r>
      <w:r>
        <w:rPr>
          <w:spacing w:val="-9"/>
        </w:rPr>
        <w:t xml:space="preserve"> </w:t>
      </w:r>
      <w:r>
        <w:t>products used on the interior of the building (defined as inside of the weatherproofing system) must me</w:t>
      </w:r>
      <w:r w:rsidR="00382592">
        <w:t xml:space="preserve">et </w:t>
      </w:r>
      <w:r>
        <w:t>VOC content requirements of</w:t>
      </w:r>
    </w:p>
    <w:p w:rsidR="00E24CAD" w:rsidRDefault="0097373B">
      <w:pPr>
        <w:pStyle w:val="BodyText"/>
        <w:tabs>
          <w:tab w:val="left" w:pos="2679"/>
        </w:tabs>
        <w:spacing w:line="232" w:lineRule="auto"/>
        <w:ind w:left="399" w:right="219"/>
      </w:pPr>
      <w:r>
        <w:t>SCAQMD</w:t>
      </w:r>
      <w:r>
        <w:rPr>
          <w:spacing w:val="-2"/>
        </w:rPr>
        <w:t xml:space="preserve"> </w:t>
      </w:r>
      <w:r>
        <w:t>Rule</w:t>
      </w:r>
      <w:r>
        <w:rPr>
          <w:spacing w:val="-2"/>
        </w:rPr>
        <w:t xml:space="preserve"> </w:t>
      </w:r>
      <w:r>
        <w:t>1168.</w:t>
      </w:r>
      <w:r>
        <w:tab/>
        <w:t>Provide current product certification documentation</w:t>
      </w:r>
      <w:r>
        <w:rPr>
          <w:spacing w:val="-12"/>
        </w:rPr>
        <w:t xml:space="preserve"> </w:t>
      </w:r>
      <w:r>
        <w:t>from certification</w:t>
      </w:r>
      <w:r>
        <w:rPr>
          <w:spacing w:val="-1"/>
        </w:rPr>
        <w:t xml:space="preserve"> </w:t>
      </w:r>
      <w:r>
        <w:t>body.</w:t>
      </w:r>
    </w:p>
    <w:p w:rsidR="00E24CAD" w:rsidRDefault="00E24CAD">
      <w:pPr>
        <w:pStyle w:val="BodyText"/>
        <w:rPr>
          <w:sz w:val="19"/>
        </w:rPr>
      </w:pPr>
    </w:p>
    <w:p w:rsidR="00E24CAD" w:rsidRDefault="0097373B">
      <w:pPr>
        <w:pStyle w:val="BodyText"/>
        <w:tabs>
          <w:tab w:val="left" w:pos="1020"/>
        </w:tabs>
        <w:ind w:left="180"/>
      </w:pPr>
      <w:r>
        <w:t>1.5</w:t>
      </w:r>
      <w:r>
        <w:tab/>
        <w:t>ENVIRONMENTAL</w:t>
      </w:r>
      <w:r>
        <w:rPr>
          <w:spacing w:val="-1"/>
        </w:rPr>
        <w:t xml:space="preserve"> </w:t>
      </w:r>
      <w:r>
        <w:t>CONDITIONS</w:t>
      </w:r>
    </w:p>
    <w:p w:rsidR="00E24CAD" w:rsidRDefault="00E24CAD">
      <w:pPr>
        <w:pStyle w:val="BodyText"/>
        <w:spacing w:before="6"/>
        <w:rPr>
          <w:sz w:val="19"/>
        </w:rPr>
      </w:pPr>
    </w:p>
    <w:p w:rsidR="00E24CAD" w:rsidRDefault="0097373B">
      <w:pPr>
        <w:pStyle w:val="BodyText"/>
        <w:spacing w:line="230" w:lineRule="auto"/>
        <w:ind w:left="399" w:right="199"/>
      </w:pPr>
      <w:r>
        <w:t>Apply sealant when the ambient temperature is between 4 and 32 degrees C 40 and 90 degrees F.</w:t>
      </w:r>
    </w:p>
    <w:p w:rsidR="00E24CAD" w:rsidRDefault="00E24CAD">
      <w:pPr>
        <w:pStyle w:val="BodyText"/>
        <w:spacing w:before="3"/>
        <w:rPr>
          <w:sz w:val="19"/>
        </w:rPr>
      </w:pPr>
    </w:p>
    <w:p w:rsidR="00E24CAD" w:rsidRDefault="0097373B">
      <w:pPr>
        <w:pStyle w:val="ListParagraph"/>
        <w:numPr>
          <w:ilvl w:val="1"/>
          <w:numId w:val="7"/>
        </w:numPr>
        <w:tabs>
          <w:tab w:val="left" w:pos="900"/>
          <w:tab w:val="left" w:pos="901"/>
        </w:tabs>
        <w:spacing w:before="1"/>
        <w:ind w:hanging="720"/>
        <w:rPr>
          <w:sz w:val="20"/>
        </w:rPr>
      </w:pPr>
      <w:r>
        <w:rPr>
          <w:sz w:val="20"/>
        </w:rPr>
        <w:t>DELIVERY AND</w:t>
      </w:r>
      <w:r>
        <w:rPr>
          <w:spacing w:val="-1"/>
          <w:sz w:val="20"/>
        </w:rPr>
        <w:t xml:space="preserve"> </w:t>
      </w:r>
      <w:r>
        <w:rPr>
          <w:sz w:val="20"/>
        </w:rPr>
        <w:t>STORAGE</w:t>
      </w:r>
    </w:p>
    <w:p w:rsidR="00E24CAD" w:rsidRDefault="00E24CAD">
      <w:pPr>
        <w:pStyle w:val="BodyText"/>
        <w:spacing w:before="2"/>
        <w:rPr>
          <w:sz w:val="19"/>
        </w:rPr>
      </w:pPr>
    </w:p>
    <w:p w:rsidR="00E24CAD" w:rsidRDefault="0097373B">
      <w:pPr>
        <w:pStyle w:val="BodyText"/>
        <w:tabs>
          <w:tab w:val="left" w:pos="4838"/>
          <w:tab w:val="left" w:pos="6878"/>
          <w:tab w:val="left" w:pos="7958"/>
        </w:tabs>
        <w:spacing w:line="232" w:lineRule="auto"/>
        <w:ind w:left="399" w:right="219"/>
      </w:pPr>
      <w:r>
        <w:t>Deliver materials to the jobsite in unopened manufacturers' sealed</w:t>
      </w:r>
      <w:r>
        <w:rPr>
          <w:spacing w:val="-16"/>
        </w:rPr>
        <w:t xml:space="preserve"> </w:t>
      </w:r>
      <w:r>
        <w:t>shipping containers, with br</w:t>
      </w:r>
      <w:r w:rsidR="00382592">
        <w:t xml:space="preserve">and name, date of manufacture, color, </w:t>
      </w:r>
      <w:r>
        <w:t>and material designation clearly</w:t>
      </w:r>
      <w:r>
        <w:rPr>
          <w:spacing w:val="-4"/>
        </w:rPr>
        <w:t xml:space="preserve"> </w:t>
      </w:r>
      <w:r>
        <w:t>marked</w:t>
      </w:r>
      <w:r>
        <w:rPr>
          <w:spacing w:val="-2"/>
        </w:rPr>
        <w:t xml:space="preserve"> </w:t>
      </w:r>
      <w:r>
        <w:t>thereon.</w:t>
      </w:r>
      <w:r>
        <w:tab/>
        <w:t>Label elastomeric sealant containers to identify type, class, grade, and use. Handle and store materials in accordance with manufacturer's</w:t>
      </w:r>
      <w:r>
        <w:rPr>
          <w:spacing w:val="-7"/>
        </w:rPr>
        <w:t xml:space="preserve"> </w:t>
      </w:r>
      <w:r>
        <w:t>printed</w:t>
      </w:r>
      <w:r>
        <w:rPr>
          <w:spacing w:val="-3"/>
        </w:rPr>
        <w:t xml:space="preserve"> </w:t>
      </w:r>
      <w:r>
        <w:t>instructions.</w:t>
      </w:r>
      <w:r>
        <w:tab/>
        <w:t>Prevent exposure to foreign materials or subjection to sustained temperatures exceeding 32 degrees C 90 degrees F or lower than 4 degrees C 0</w:t>
      </w:r>
      <w:r>
        <w:rPr>
          <w:spacing w:val="-10"/>
        </w:rPr>
        <w:t xml:space="preserve"> </w:t>
      </w:r>
      <w:r>
        <w:t>degrees</w:t>
      </w:r>
      <w:r>
        <w:rPr>
          <w:spacing w:val="-1"/>
        </w:rPr>
        <w:t xml:space="preserve"> </w:t>
      </w:r>
      <w:r>
        <w:t>F.</w:t>
      </w:r>
      <w:r>
        <w:tab/>
        <w:t>Keep materials and containers closed and separated from absorptive materials such as wood and</w:t>
      </w:r>
      <w:r>
        <w:rPr>
          <w:spacing w:val="-1"/>
        </w:rPr>
        <w:t xml:space="preserve"> </w:t>
      </w:r>
      <w:r>
        <w:t>insulation.</w:t>
      </w:r>
    </w:p>
    <w:p w:rsidR="00E24CAD" w:rsidRDefault="00E24CAD">
      <w:pPr>
        <w:pStyle w:val="BodyText"/>
        <w:spacing w:before="2"/>
        <w:rPr>
          <w:sz w:val="19"/>
        </w:rPr>
      </w:pPr>
    </w:p>
    <w:p w:rsidR="00E24CAD" w:rsidRDefault="0097373B">
      <w:pPr>
        <w:pStyle w:val="ListParagraph"/>
        <w:numPr>
          <w:ilvl w:val="1"/>
          <w:numId w:val="7"/>
        </w:numPr>
        <w:tabs>
          <w:tab w:val="left" w:pos="900"/>
          <w:tab w:val="left" w:pos="901"/>
        </w:tabs>
        <w:spacing w:before="1"/>
        <w:ind w:hanging="720"/>
        <w:rPr>
          <w:sz w:val="20"/>
        </w:rPr>
      </w:pPr>
      <w:r>
        <w:rPr>
          <w:sz w:val="20"/>
        </w:rPr>
        <w:t>QUALITY</w:t>
      </w:r>
      <w:r>
        <w:rPr>
          <w:spacing w:val="-1"/>
          <w:sz w:val="20"/>
        </w:rPr>
        <w:t xml:space="preserve"> </w:t>
      </w:r>
      <w:r>
        <w:rPr>
          <w:sz w:val="20"/>
        </w:rPr>
        <w:t>ASSURANCE</w:t>
      </w:r>
    </w:p>
    <w:p w:rsidR="00E24CAD" w:rsidRDefault="00E24CAD">
      <w:pPr>
        <w:pStyle w:val="BodyText"/>
        <w:spacing w:before="8"/>
        <w:rPr>
          <w:sz w:val="18"/>
        </w:rPr>
      </w:pPr>
    </w:p>
    <w:p w:rsidR="00E24CAD" w:rsidRDefault="0097373B">
      <w:pPr>
        <w:pStyle w:val="ListParagraph"/>
        <w:numPr>
          <w:ilvl w:val="2"/>
          <w:numId w:val="7"/>
        </w:numPr>
        <w:tabs>
          <w:tab w:val="left" w:pos="1140"/>
          <w:tab w:val="left" w:pos="1141"/>
        </w:tabs>
        <w:ind w:hanging="960"/>
        <w:rPr>
          <w:sz w:val="20"/>
        </w:rPr>
      </w:pPr>
      <w:r>
        <w:rPr>
          <w:sz w:val="20"/>
        </w:rPr>
        <w:t>Compatibility with</w:t>
      </w:r>
      <w:r>
        <w:rPr>
          <w:spacing w:val="-1"/>
          <w:sz w:val="20"/>
        </w:rPr>
        <w:t xml:space="preserve"> </w:t>
      </w:r>
      <w:r>
        <w:rPr>
          <w:sz w:val="20"/>
        </w:rPr>
        <w:t>Substrate</w:t>
      </w:r>
    </w:p>
    <w:p w:rsidR="00E24CAD" w:rsidRDefault="00E24CAD">
      <w:pPr>
        <w:pStyle w:val="BodyText"/>
        <w:spacing w:before="3"/>
        <w:rPr>
          <w:sz w:val="19"/>
        </w:rPr>
      </w:pPr>
    </w:p>
    <w:p w:rsidR="00E24CAD" w:rsidRDefault="0097373B">
      <w:pPr>
        <w:pStyle w:val="BodyText"/>
        <w:spacing w:line="232" w:lineRule="auto"/>
        <w:ind w:left="399" w:right="199"/>
      </w:pPr>
      <w:r>
        <w:t>Verify that each sealant is compatible for use with each joint substrate in accordance with sealant manufacturer's printed recommendations for each application.</w:t>
      </w:r>
    </w:p>
    <w:p w:rsidR="00E24CAD" w:rsidRDefault="0097373B">
      <w:pPr>
        <w:pStyle w:val="ListParagraph"/>
        <w:numPr>
          <w:ilvl w:val="2"/>
          <w:numId w:val="7"/>
        </w:numPr>
        <w:tabs>
          <w:tab w:val="left" w:pos="1140"/>
          <w:tab w:val="left" w:pos="1141"/>
        </w:tabs>
        <w:spacing w:before="70"/>
        <w:ind w:hanging="960"/>
        <w:rPr>
          <w:sz w:val="20"/>
        </w:rPr>
      </w:pPr>
      <w:r>
        <w:rPr>
          <w:sz w:val="20"/>
        </w:rPr>
        <w:t>Joint</w:t>
      </w:r>
      <w:r>
        <w:rPr>
          <w:spacing w:val="-1"/>
          <w:sz w:val="20"/>
        </w:rPr>
        <w:t xml:space="preserve"> </w:t>
      </w:r>
      <w:r>
        <w:rPr>
          <w:sz w:val="20"/>
        </w:rPr>
        <w:t>Tolerance</w:t>
      </w:r>
    </w:p>
    <w:p w:rsidR="00E24CAD" w:rsidRDefault="00E24CAD">
      <w:pPr>
        <w:pStyle w:val="BodyText"/>
        <w:spacing w:before="2"/>
        <w:rPr>
          <w:sz w:val="19"/>
        </w:rPr>
      </w:pPr>
    </w:p>
    <w:p w:rsidR="00E24CAD" w:rsidRDefault="0097373B">
      <w:pPr>
        <w:pStyle w:val="BodyText"/>
        <w:spacing w:line="232" w:lineRule="auto"/>
        <w:ind w:left="399" w:right="1279"/>
      </w:pPr>
      <w:r>
        <w:t>Provide joint tolerances in accordance with manufacturer's printed instructions.</w:t>
      </w:r>
    </w:p>
    <w:p w:rsidR="00E24CAD" w:rsidRDefault="00E24CAD">
      <w:pPr>
        <w:pStyle w:val="BodyText"/>
        <w:spacing w:before="1"/>
        <w:rPr>
          <w:sz w:val="19"/>
        </w:rPr>
      </w:pPr>
    </w:p>
    <w:p w:rsidR="00E24CAD" w:rsidRDefault="0097373B">
      <w:pPr>
        <w:pStyle w:val="ListParagraph"/>
        <w:numPr>
          <w:ilvl w:val="2"/>
          <w:numId w:val="7"/>
        </w:numPr>
        <w:tabs>
          <w:tab w:val="left" w:pos="1140"/>
          <w:tab w:val="left" w:pos="1141"/>
        </w:tabs>
        <w:ind w:hanging="960"/>
        <w:rPr>
          <w:sz w:val="20"/>
        </w:rPr>
      </w:pPr>
      <w:r>
        <w:rPr>
          <w:sz w:val="20"/>
        </w:rPr>
        <w:t>Adhesion</w:t>
      </w:r>
    </w:p>
    <w:p w:rsidR="00E24CAD" w:rsidRDefault="00E24CAD">
      <w:pPr>
        <w:pStyle w:val="BodyText"/>
        <w:spacing w:before="9"/>
        <w:rPr>
          <w:sz w:val="18"/>
        </w:rPr>
      </w:pPr>
    </w:p>
    <w:p w:rsidR="00E24CAD" w:rsidRDefault="0097373B">
      <w:pPr>
        <w:pStyle w:val="BodyText"/>
        <w:ind w:left="399"/>
      </w:pPr>
      <w:r>
        <w:t>Provide in accordance with ASTM C1193 or ASTM C1521.</w:t>
      </w:r>
    </w:p>
    <w:p w:rsidR="00E24CAD" w:rsidRDefault="00E24CAD">
      <w:pPr>
        <w:pStyle w:val="BodyText"/>
        <w:rPr>
          <w:sz w:val="19"/>
        </w:rPr>
      </w:pPr>
    </w:p>
    <w:p w:rsidR="00E24CAD" w:rsidRDefault="0097373B">
      <w:pPr>
        <w:pStyle w:val="BodyText"/>
        <w:tabs>
          <w:tab w:val="left" w:pos="1260"/>
        </w:tabs>
        <w:ind w:left="180"/>
      </w:pPr>
      <w:r>
        <w:t>PART</w:t>
      </w:r>
      <w:r>
        <w:rPr>
          <w:spacing w:val="-1"/>
        </w:rPr>
        <w:t xml:space="preserve"> </w:t>
      </w:r>
      <w:r>
        <w:t>2</w:t>
      </w:r>
      <w:r>
        <w:tab/>
        <w:t>PRODUCTS</w:t>
      </w:r>
    </w:p>
    <w:p w:rsidR="00E24CAD" w:rsidRDefault="00E24CAD">
      <w:pPr>
        <w:pStyle w:val="BodyText"/>
        <w:spacing w:before="8"/>
        <w:rPr>
          <w:sz w:val="18"/>
        </w:rPr>
      </w:pPr>
    </w:p>
    <w:p w:rsidR="00E24CAD" w:rsidRDefault="0097373B">
      <w:pPr>
        <w:pStyle w:val="ListParagraph"/>
        <w:numPr>
          <w:ilvl w:val="1"/>
          <w:numId w:val="6"/>
        </w:numPr>
        <w:tabs>
          <w:tab w:val="left" w:pos="900"/>
          <w:tab w:val="left" w:pos="901"/>
        </w:tabs>
        <w:spacing w:before="1"/>
        <w:ind w:hanging="720"/>
        <w:rPr>
          <w:sz w:val="20"/>
        </w:rPr>
      </w:pPr>
      <w:r>
        <w:rPr>
          <w:sz w:val="20"/>
        </w:rPr>
        <w:t>PRODUCT SUSTAINABILITY</w:t>
      </w:r>
      <w:r>
        <w:rPr>
          <w:spacing w:val="-1"/>
          <w:sz w:val="20"/>
        </w:rPr>
        <w:t xml:space="preserve"> </w:t>
      </w:r>
      <w:r>
        <w:rPr>
          <w:sz w:val="20"/>
        </w:rPr>
        <w:t>CRITERIA</w:t>
      </w:r>
    </w:p>
    <w:p w:rsidR="00E24CAD" w:rsidRDefault="00E24CAD">
      <w:pPr>
        <w:pStyle w:val="BodyText"/>
        <w:spacing w:before="2"/>
        <w:rPr>
          <w:sz w:val="19"/>
        </w:rPr>
      </w:pPr>
    </w:p>
    <w:p w:rsidR="007F284A" w:rsidRDefault="007F284A" w:rsidP="007F284A">
      <w:pPr>
        <w:pStyle w:val="BodyText"/>
        <w:spacing w:line="232" w:lineRule="auto"/>
        <w:ind w:left="319" w:right="90"/>
      </w:pPr>
      <w:r>
        <w:t>**************************************************************************</w:t>
      </w:r>
    </w:p>
    <w:p w:rsidR="007F284A" w:rsidRDefault="007F284A" w:rsidP="007F284A">
      <w:pPr>
        <w:pStyle w:val="BodyText"/>
        <w:spacing w:line="232" w:lineRule="auto"/>
        <w:ind w:left="319" w:right="9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p>
    <w:p w:rsidR="007F284A" w:rsidRPr="00137241" w:rsidRDefault="007F284A" w:rsidP="007F284A">
      <w:pPr>
        <w:pStyle w:val="BodyText"/>
        <w:spacing w:line="232" w:lineRule="auto"/>
        <w:ind w:left="319" w:right="90"/>
      </w:pPr>
      <w:r>
        <w:t>**************************************************************************</w:t>
      </w:r>
    </w:p>
    <w:p w:rsidR="00E24CAD" w:rsidRDefault="00E24CAD">
      <w:pPr>
        <w:pStyle w:val="BodyText"/>
        <w:spacing w:before="5"/>
        <w:rPr>
          <w:sz w:val="19"/>
        </w:rPr>
      </w:pPr>
    </w:p>
    <w:p w:rsidR="00E24CAD" w:rsidRDefault="0097373B">
      <w:pPr>
        <w:pStyle w:val="ListParagraph"/>
        <w:numPr>
          <w:ilvl w:val="2"/>
          <w:numId w:val="6"/>
        </w:numPr>
        <w:tabs>
          <w:tab w:val="left" w:pos="1140"/>
          <w:tab w:val="left" w:pos="1141"/>
        </w:tabs>
        <w:spacing w:line="232" w:lineRule="auto"/>
        <w:ind w:right="317" w:firstLine="0"/>
        <w:rPr>
          <w:sz w:val="20"/>
        </w:rPr>
      </w:pPr>
      <w:r>
        <w:rPr>
          <w:sz w:val="20"/>
        </w:rPr>
        <w:t>Reduce Volatile Organic Compounds (VOC) (Low-Emitting Materials)</w:t>
      </w:r>
      <w:r>
        <w:rPr>
          <w:spacing w:val="-15"/>
          <w:sz w:val="20"/>
        </w:rPr>
        <w:t xml:space="preserve"> </w:t>
      </w:r>
      <w:r>
        <w:rPr>
          <w:sz w:val="20"/>
        </w:rPr>
        <w:t>for Products</w:t>
      </w:r>
    </w:p>
    <w:p w:rsidR="00E24CAD" w:rsidRDefault="00E24CAD">
      <w:pPr>
        <w:pStyle w:val="BodyText"/>
        <w:spacing w:before="5"/>
        <w:rPr>
          <w:sz w:val="19"/>
        </w:rPr>
      </w:pPr>
    </w:p>
    <w:p w:rsidR="00E24CAD" w:rsidRDefault="007F284A">
      <w:pPr>
        <w:pStyle w:val="BodyText"/>
        <w:tabs>
          <w:tab w:val="left" w:pos="1958"/>
        </w:tabs>
        <w:spacing w:before="1" w:line="232" w:lineRule="auto"/>
        <w:ind w:left="399" w:right="219"/>
      </w:pPr>
      <w:r>
        <w:t>P</w:t>
      </w:r>
      <w:r w:rsidR="0097373B">
        <w:t>rovide</w:t>
      </w:r>
      <w:r>
        <w:t xml:space="preserve"> products and</w:t>
      </w:r>
      <w:r w:rsidR="0097373B">
        <w:t xml:space="preserve"> documentation in accordance with Section </w:t>
      </w:r>
      <w:r>
        <w:t>[</w:t>
      </w:r>
      <w:bookmarkStart w:id="0" w:name="_GoBack"/>
      <w:bookmarkEnd w:id="0"/>
      <w:r w:rsidR="0097373B">
        <w:t>01 33 29 SUSTAINABILITY REPORTING</w:t>
      </w:r>
      <w:r>
        <w:t>][01 57 19 TEMPORARY ENVIRONMENTAL CONTROLS]</w:t>
      </w:r>
      <w:r w:rsidR="0097373B">
        <w:t xml:space="preserve"> paragraph REDUCE VOLATILE</w:t>
      </w:r>
      <w:r w:rsidR="0097373B">
        <w:rPr>
          <w:spacing w:val="-16"/>
        </w:rPr>
        <w:t xml:space="preserve"> </w:t>
      </w:r>
      <w:r w:rsidR="0097373B">
        <w:t>ORGANIC COMPOUNDS (VOC) (LOW-EMITTING</w:t>
      </w:r>
      <w:r w:rsidR="0097373B">
        <w:rPr>
          <w:spacing w:val="-1"/>
        </w:rPr>
        <w:t xml:space="preserve"> </w:t>
      </w:r>
      <w:r w:rsidR="0097373B">
        <w:t>MATERIALS).</w:t>
      </w:r>
    </w:p>
    <w:p w:rsidR="00E24CAD" w:rsidRDefault="00E24CAD">
      <w:pPr>
        <w:pStyle w:val="BodyText"/>
        <w:spacing w:before="1"/>
        <w:rPr>
          <w:sz w:val="19"/>
        </w:rPr>
      </w:pPr>
    </w:p>
    <w:p w:rsidR="00E24CAD" w:rsidRDefault="0097373B">
      <w:pPr>
        <w:pStyle w:val="ListParagraph"/>
        <w:numPr>
          <w:ilvl w:val="1"/>
          <w:numId w:val="6"/>
        </w:numPr>
        <w:tabs>
          <w:tab w:val="left" w:pos="900"/>
          <w:tab w:val="left" w:pos="901"/>
        </w:tabs>
        <w:ind w:hanging="720"/>
        <w:rPr>
          <w:sz w:val="20"/>
        </w:rPr>
      </w:pPr>
      <w:r>
        <w:rPr>
          <w:sz w:val="20"/>
        </w:rPr>
        <w:t>SEALANTS</w:t>
      </w:r>
    </w:p>
    <w:p w:rsidR="00E24CAD" w:rsidRDefault="00E24CAD">
      <w:pPr>
        <w:pStyle w:val="BodyText"/>
        <w:rPr>
          <w:b/>
          <w:sz w:val="19"/>
        </w:rPr>
      </w:pPr>
    </w:p>
    <w:p w:rsidR="00E24CAD" w:rsidRDefault="0097373B">
      <w:pPr>
        <w:pStyle w:val="BodyText"/>
        <w:spacing w:line="232" w:lineRule="auto"/>
        <w:ind w:left="399" w:right="679"/>
      </w:pPr>
      <w:r>
        <w:t>Provide sealant products that have been tested, found suitable, and documented as such by the manufacturer for the particular substrates to which they will be applied.</w:t>
      </w:r>
    </w:p>
    <w:p w:rsidR="00E24CAD" w:rsidRDefault="00E24CAD">
      <w:pPr>
        <w:pStyle w:val="BodyText"/>
        <w:spacing w:before="10"/>
        <w:rPr>
          <w:sz w:val="18"/>
        </w:rPr>
      </w:pPr>
    </w:p>
    <w:p w:rsidR="00E24CAD" w:rsidRDefault="0097373B">
      <w:pPr>
        <w:pStyle w:val="ListParagraph"/>
        <w:numPr>
          <w:ilvl w:val="2"/>
          <w:numId w:val="6"/>
        </w:numPr>
        <w:tabs>
          <w:tab w:val="left" w:pos="1140"/>
          <w:tab w:val="left" w:pos="1141"/>
        </w:tabs>
        <w:ind w:left="1140" w:hanging="960"/>
        <w:rPr>
          <w:sz w:val="20"/>
        </w:rPr>
      </w:pPr>
      <w:r>
        <w:rPr>
          <w:sz w:val="20"/>
        </w:rPr>
        <w:t>Interior</w:t>
      </w:r>
      <w:r>
        <w:rPr>
          <w:spacing w:val="-1"/>
          <w:sz w:val="20"/>
        </w:rPr>
        <w:t xml:space="preserve"> </w:t>
      </w:r>
      <w:r>
        <w:rPr>
          <w:sz w:val="20"/>
        </w:rPr>
        <w:t>Sealants</w:t>
      </w:r>
    </w:p>
    <w:p w:rsidR="00E24CAD" w:rsidRDefault="00E24CAD">
      <w:pPr>
        <w:pStyle w:val="BodyText"/>
        <w:spacing w:before="5"/>
        <w:rPr>
          <w:sz w:val="19"/>
        </w:rPr>
      </w:pPr>
    </w:p>
    <w:p w:rsidR="00E24CAD" w:rsidRDefault="00382592">
      <w:pPr>
        <w:pStyle w:val="BodyText"/>
        <w:tabs>
          <w:tab w:val="left" w:pos="1118"/>
          <w:tab w:val="left" w:pos="7118"/>
        </w:tabs>
        <w:spacing w:line="232" w:lineRule="auto"/>
        <w:ind w:left="399" w:right="579"/>
      </w:pPr>
      <w:r>
        <w:t xml:space="preserve">Provide </w:t>
      </w:r>
      <w:r w:rsidR="0097373B">
        <w:t>ASTM C920, T</w:t>
      </w:r>
      <w:r>
        <w:t>ype S or M, Grade NS, Class 25, Use NT</w:t>
      </w:r>
      <w:r w:rsidR="0097373B">
        <w:t>.</w:t>
      </w:r>
      <w:r w:rsidR="0097373B">
        <w:tab/>
        <w:t>Provide certification of indoor air quality for interior</w:t>
      </w:r>
      <w:r w:rsidR="0097373B">
        <w:rPr>
          <w:spacing w:val="-14"/>
        </w:rPr>
        <w:t xml:space="preserve"> </w:t>
      </w:r>
      <w:r>
        <w:t>sealants. Location and color</w:t>
      </w:r>
      <w:r w:rsidR="0097373B">
        <w:t xml:space="preserve"> of sealant for</w:t>
      </w:r>
      <w:r w:rsidR="0097373B">
        <w:rPr>
          <w:spacing w:val="-9"/>
        </w:rPr>
        <w:t xml:space="preserve"> </w:t>
      </w:r>
      <w:r w:rsidR="0097373B">
        <w:t>the</w:t>
      </w:r>
      <w:r w:rsidR="0097373B">
        <w:rPr>
          <w:spacing w:val="-2"/>
        </w:rPr>
        <w:t xml:space="preserve"> </w:t>
      </w:r>
      <w:r>
        <w:t xml:space="preserve">following. </w:t>
      </w:r>
      <w:r w:rsidR="0097373B">
        <w:t>Note, color "as selected" refers to manufacturer's full range of color</w:t>
      </w:r>
      <w:r w:rsidR="0097373B">
        <w:rPr>
          <w:spacing w:val="-6"/>
        </w:rPr>
        <w:t xml:space="preserve"> </w:t>
      </w:r>
      <w:r w:rsidR="0097373B">
        <w:t>options</w:t>
      </w:r>
    </w:p>
    <w:p w:rsidR="00E24CAD" w:rsidRDefault="00E24CAD">
      <w:pPr>
        <w:pStyle w:val="BodyText"/>
        <w:rPr>
          <w:sz w:val="18"/>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0"/>
        <w:gridCol w:w="1858"/>
      </w:tblGrid>
      <w:tr w:rsidR="00E24CAD">
        <w:trPr>
          <w:trHeight w:val="503"/>
        </w:trPr>
        <w:tc>
          <w:tcPr>
            <w:tcW w:w="7200" w:type="dxa"/>
          </w:tcPr>
          <w:p w:rsidR="00E24CAD" w:rsidRDefault="0097373B">
            <w:pPr>
              <w:pStyle w:val="TableParagraph"/>
              <w:spacing w:before="16"/>
              <w:rPr>
                <w:sz w:val="17"/>
              </w:rPr>
            </w:pPr>
            <w:r>
              <w:rPr>
                <w:sz w:val="17"/>
              </w:rPr>
              <w:t>LOCATION</w:t>
            </w:r>
          </w:p>
        </w:tc>
        <w:tc>
          <w:tcPr>
            <w:tcW w:w="1858" w:type="dxa"/>
          </w:tcPr>
          <w:p w:rsidR="00E24CAD" w:rsidRDefault="0097373B">
            <w:pPr>
              <w:pStyle w:val="TableParagraph"/>
              <w:spacing w:before="16"/>
              <w:rPr>
                <w:sz w:val="17"/>
              </w:rPr>
            </w:pPr>
            <w:r>
              <w:rPr>
                <w:sz w:val="17"/>
              </w:rPr>
              <w:t>COLOR</w:t>
            </w:r>
          </w:p>
        </w:tc>
      </w:tr>
      <w:tr w:rsidR="00E24CAD">
        <w:trPr>
          <w:trHeight w:val="978"/>
        </w:trPr>
        <w:tc>
          <w:tcPr>
            <w:tcW w:w="7200" w:type="dxa"/>
          </w:tcPr>
          <w:p w:rsidR="00E24CAD" w:rsidRDefault="0097373B">
            <w:pPr>
              <w:pStyle w:val="TableParagraph"/>
              <w:tabs>
                <w:tab w:val="left" w:pos="470"/>
              </w:tabs>
              <w:spacing w:before="21" w:line="232" w:lineRule="auto"/>
              <w:ind w:right="416" w:hanging="1"/>
              <w:rPr>
                <w:sz w:val="17"/>
              </w:rPr>
            </w:pPr>
            <w:r>
              <w:rPr>
                <w:sz w:val="17"/>
              </w:rPr>
              <w:t>a.</w:t>
            </w:r>
            <w:r>
              <w:rPr>
                <w:sz w:val="17"/>
              </w:rPr>
              <w:tab/>
              <w:t>Small voids between walls or partitions and adjacent lockers, casework, shelving, door frames, built-in or surface mounted equipment and fixtures, and similar</w:t>
            </w:r>
            <w:r>
              <w:rPr>
                <w:spacing w:val="7"/>
                <w:sz w:val="17"/>
              </w:rPr>
              <w:t xml:space="preserve"> </w:t>
            </w:r>
            <w:r>
              <w:rPr>
                <w:sz w:val="17"/>
              </w:rPr>
              <w:t>items.</w:t>
            </w:r>
          </w:p>
        </w:tc>
        <w:tc>
          <w:tcPr>
            <w:tcW w:w="1858" w:type="dxa"/>
          </w:tcPr>
          <w:p w:rsidR="00E24CAD" w:rsidRDefault="003D0294" w:rsidP="003D0294">
            <w:pPr>
              <w:pStyle w:val="TableParagraph"/>
              <w:tabs>
                <w:tab w:val="left" w:pos="678"/>
              </w:tabs>
              <w:spacing w:before="21" w:line="232" w:lineRule="auto"/>
              <w:ind w:left="0" w:right="337"/>
              <w:rPr>
                <w:sz w:val="17"/>
              </w:rPr>
            </w:pPr>
            <w:r>
              <w:rPr>
                <w:sz w:val="17"/>
              </w:rPr>
              <w:t>As Selected</w:t>
            </w:r>
          </w:p>
        </w:tc>
      </w:tr>
      <w:tr w:rsidR="00E24CAD">
        <w:trPr>
          <w:trHeight w:val="978"/>
        </w:trPr>
        <w:tc>
          <w:tcPr>
            <w:tcW w:w="7200" w:type="dxa"/>
          </w:tcPr>
          <w:p w:rsidR="00E24CAD" w:rsidRDefault="0097373B">
            <w:pPr>
              <w:pStyle w:val="TableParagraph"/>
              <w:tabs>
                <w:tab w:val="left" w:pos="470"/>
              </w:tabs>
              <w:spacing w:before="16" w:line="232" w:lineRule="auto"/>
              <w:ind w:right="313"/>
              <w:rPr>
                <w:sz w:val="17"/>
              </w:rPr>
            </w:pPr>
            <w:r>
              <w:rPr>
                <w:sz w:val="17"/>
              </w:rPr>
              <w:t>b.</w:t>
            </w:r>
            <w:r>
              <w:rPr>
                <w:sz w:val="17"/>
              </w:rPr>
              <w:tab/>
              <w:t>Perimeter of frames at doors, windows, and access panels which adjoin exposed interior concrete and masonry</w:t>
            </w:r>
            <w:r>
              <w:rPr>
                <w:spacing w:val="13"/>
                <w:sz w:val="17"/>
              </w:rPr>
              <w:t xml:space="preserve"> </w:t>
            </w:r>
            <w:r>
              <w:rPr>
                <w:sz w:val="17"/>
              </w:rPr>
              <w:t>surfaces.</w:t>
            </w:r>
          </w:p>
        </w:tc>
        <w:tc>
          <w:tcPr>
            <w:tcW w:w="1858" w:type="dxa"/>
          </w:tcPr>
          <w:p w:rsidR="00E24CAD" w:rsidRDefault="003D0294">
            <w:pPr>
              <w:pStyle w:val="TableParagraph"/>
              <w:tabs>
                <w:tab w:val="left" w:pos="678"/>
              </w:tabs>
              <w:rPr>
                <w:sz w:val="17"/>
              </w:rPr>
            </w:pPr>
            <w:r>
              <w:rPr>
                <w:sz w:val="17"/>
              </w:rPr>
              <w:t>As Selected</w:t>
            </w:r>
          </w:p>
        </w:tc>
      </w:tr>
      <w:tr w:rsidR="00E24CAD">
        <w:trPr>
          <w:trHeight w:val="805"/>
        </w:trPr>
        <w:tc>
          <w:tcPr>
            <w:tcW w:w="7200" w:type="dxa"/>
          </w:tcPr>
          <w:p w:rsidR="00E24CAD" w:rsidRDefault="0097373B">
            <w:pPr>
              <w:pStyle w:val="TableParagraph"/>
              <w:tabs>
                <w:tab w:val="left" w:pos="470"/>
              </w:tabs>
              <w:spacing w:before="16" w:line="232" w:lineRule="auto"/>
              <w:ind w:right="519" w:hanging="1"/>
              <w:rPr>
                <w:sz w:val="17"/>
              </w:rPr>
            </w:pPr>
            <w:r>
              <w:rPr>
                <w:sz w:val="17"/>
              </w:rPr>
              <w:t>c.</w:t>
            </w:r>
            <w:r>
              <w:rPr>
                <w:sz w:val="17"/>
              </w:rPr>
              <w:tab/>
              <w:t>Joints of interior masonry walls and partitions which adjoin columns, pilasters, concrete walls, and exterior walls unless otherwise detailed.</w:t>
            </w:r>
          </w:p>
        </w:tc>
        <w:tc>
          <w:tcPr>
            <w:tcW w:w="1858" w:type="dxa"/>
          </w:tcPr>
          <w:p w:rsidR="00E24CAD" w:rsidRDefault="003D0294">
            <w:pPr>
              <w:pStyle w:val="TableParagraph"/>
              <w:tabs>
                <w:tab w:val="left" w:pos="678"/>
              </w:tabs>
              <w:rPr>
                <w:sz w:val="17"/>
              </w:rPr>
            </w:pPr>
            <w:r>
              <w:rPr>
                <w:sz w:val="17"/>
              </w:rPr>
              <w:t>As Selected</w:t>
            </w:r>
          </w:p>
        </w:tc>
      </w:tr>
      <w:tr w:rsidR="00E24CAD">
        <w:trPr>
          <w:trHeight w:val="748"/>
        </w:trPr>
        <w:tc>
          <w:tcPr>
            <w:tcW w:w="7200" w:type="dxa"/>
          </w:tcPr>
          <w:p w:rsidR="00E24CAD" w:rsidRDefault="0097373B">
            <w:pPr>
              <w:pStyle w:val="TableParagraph"/>
              <w:tabs>
                <w:tab w:val="left" w:pos="470"/>
              </w:tabs>
              <w:spacing w:before="16" w:line="232" w:lineRule="auto"/>
              <w:ind w:left="58" w:right="416" w:hanging="2"/>
              <w:rPr>
                <w:sz w:val="17"/>
              </w:rPr>
            </w:pPr>
            <w:r>
              <w:rPr>
                <w:sz w:val="17"/>
              </w:rPr>
              <w:t>d.</w:t>
            </w:r>
            <w:r>
              <w:rPr>
                <w:sz w:val="17"/>
              </w:rPr>
              <w:tab/>
              <w:t>Joints between edge members for acoustical tile and adjoining vertical surfaces.</w:t>
            </w:r>
          </w:p>
        </w:tc>
        <w:tc>
          <w:tcPr>
            <w:tcW w:w="1858" w:type="dxa"/>
          </w:tcPr>
          <w:p w:rsidR="00E24CAD" w:rsidRDefault="003D0294">
            <w:pPr>
              <w:pStyle w:val="TableParagraph"/>
              <w:tabs>
                <w:tab w:val="left" w:pos="678"/>
              </w:tabs>
              <w:rPr>
                <w:sz w:val="17"/>
              </w:rPr>
            </w:pPr>
            <w:r>
              <w:rPr>
                <w:sz w:val="17"/>
              </w:rPr>
              <w:t>As Selected</w:t>
            </w:r>
          </w:p>
        </w:tc>
      </w:tr>
      <w:tr w:rsidR="00E24CAD">
        <w:trPr>
          <w:trHeight w:val="805"/>
        </w:trPr>
        <w:tc>
          <w:tcPr>
            <w:tcW w:w="7200" w:type="dxa"/>
          </w:tcPr>
          <w:p w:rsidR="00E24CAD" w:rsidRDefault="0097373B">
            <w:pPr>
              <w:pStyle w:val="TableParagraph"/>
              <w:tabs>
                <w:tab w:val="left" w:pos="470"/>
              </w:tabs>
              <w:spacing w:before="17" w:line="232" w:lineRule="auto"/>
              <w:ind w:right="209"/>
              <w:rPr>
                <w:sz w:val="17"/>
              </w:rPr>
            </w:pPr>
            <w:r>
              <w:rPr>
                <w:sz w:val="17"/>
              </w:rPr>
              <w:t>e.</w:t>
            </w:r>
            <w:r>
              <w:rPr>
                <w:sz w:val="17"/>
              </w:rPr>
              <w:tab/>
              <w:t>Interior locations, not otherwise indicated or specified, where small voids exist between materials specified to be</w:t>
            </w:r>
            <w:r>
              <w:rPr>
                <w:spacing w:val="22"/>
                <w:sz w:val="17"/>
              </w:rPr>
              <w:t xml:space="preserve"> </w:t>
            </w:r>
            <w:r>
              <w:rPr>
                <w:sz w:val="17"/>
              </w:rPr>
              <w:t>painted.</w:t>
            </w:r>
          </w:p>
        </w:tc>
        <w:tc>
          <w:tcPr>
            <w:tcW w:w="1858" w:type="dxa"/>
          </w:tcPr>
          <w:p w:rsidR="00E24CAD" w:rsidRDefault="003D0294">
            <w:pPr>
              <w:pStyle w:val="TableParagraph"/>
              <w:tabs>
                <w:tab w:val="left" w:pos="678"/>
              </w:tabs>
              <w:rPr>
                <w:sz w:val="17"/>
              </w:rPr>
            </w:pPr>
            <w:r>
              <w:rPr>
                <w:sz w:val="17"/>
              </w:rPr>
              <w:t>As Selected</w:t>
            </w:r>
          </w:p>
        </w:tc>
      </w:tr>
      <w:tr w:rsidR="00E24CAD">
        <w:trPr>
          <w:trHeight w:val="805"/>
        </w:trPr>
        <w:tc>
          <w:tcPr>
            <w:tcW w:w="7200" w:type="dxa"/>
          </w:tcPr>
          <w:p w:rsidR="00E24CAD" w:rsidRDefault="0097373B">
            <w:pPr>
              <w:pStyle w:val="TableParagraph"/>
              <w:tabs>
                <w:tab w:val="left" w:pos="470"/>
              </w:tabs>
              <w:spacing w:before="17" w:line="232" w:lineRule="auto"/>
              <w:ind w:right="209"/>
              <w:rPr>
                <w:sz w:val="17"/>
              </w:rPr>
            </w:pPr>
            <w:r>
              <w:rPr>
                <w:sz w:val="17"/>
              </w:rPr>
              <w:t>f.</w:t>
            </w:r>
            <w:r>
              <w:rPr>
                <w:sz w:val="17"/>
              </w:rPr>
              <w:tab/>
              <w:t>Joints between bathtubs and ceramic tile; joints between shower receptors and ceramic tile; joints formed where non-planar tile surfaces meet.</w:t>
            </w:r>
          </w:p>
        </w:tc>
        <w:tc>
          <w:tcPr>
            <w:tcW w:w="1858" w:type="dxa"/>
          </w:tcPr>
          <w:p w:rsidR="00E24CAD" w:rsidRDefault="003D0294">
            <w:pPr>
              <w:pStyle w:val="TableParagraph"/>
              <w:tabs>
                <w:tab w:val="left" w:pos="678"/>
              </w:tabs>
              <w:rPr>
                <w:sz w:val="17"/>
              </w:rPr>
            </w:pPr>
            <w:r>
              <w:rPr>
                <w:sz w:val="17"/>
              </w:rPr>
              <w:t>As Selected</w:t>
            </w:r>
          </w:p>
        </w:tc>
      </w:tr>
      <w:tr w:rsidR="00E24CAD">
        <w:trPr>
          <w:trHeight w:val="805"/>
        </w:trPr>
        <w:tc>
          <w:tcPr>
            <w:tcW w:w="7200" w:type="dxa"/>
          </w:tcPr>
          <w:p w:rsidR="00E24CAD" w:rsidRDefault="0097373B">
            <w:pPr>
              <w:pStyle w:val="TableParagraph"/>
              <w:tabs>
                <w:tab w:val="left" w:pos="470"/>
              </w:tabs>
              <w:spacing w:before="17" w:line="232" w:lineRule="auto"/>
              <w:ind w:right="519" w:hanging="1"/>
              <w:rPr>
                <w:sz w:val="17"/>
              </w:rPr>
            </w:pPr>
            <w:r>
              <w:rPr>
                <w:sz w:val="17"/>
              </w:rPr>
              <w:t>g.</w:t>
            </w:r>
            <w:r>
              <w:rPr>
                <w:sz w:val="17"/>
              </w:rPr>
              <w:tab/>
              <w:t>Joints formed between tile floors and tile base cove; joints between tile and dissimilar materials; joints occurring where substrates change.</w:t>
            </w:r>
          </w:p>
        </w:tc>
        <w:tc>
          <w:tcPr>
            <w:tcW w:w="1858" w:type="dxa"/>
          </w:tcPr>
          <w:p w:rsidR="00E24CAD" w:rsidRDefault="003D0294">
            <w:pPr>
              <w:pStyle w:val="TableParagraph"/>
              <w:tabs>
                <w:tab w:val="left" w:pos="678"/>
              </w:tabs>
              <w:rPr>
                <w:sz w:val="17"/>
              </w:rPr>
            </w:pPr>
            <w:r>
              <w:rPr>
                <w:sz w:val="17"/>
              </w:rPr>
              <w:t>As Selected</w:t>
            </w:r>
          </w:p>
        </w:tc>
      </w:tr>
      <w:tr w:rsidR="00E24CAD" w:rsidTr="003D0294">
        <w:trPr>
          <w:trHeight w:val="495"/>
        </w:trPr>
        <w:tc>
          <w:tcPr>
            <w:tcW w:w="7200" w:type="dxa"/>
          </w:tcPr>
          <w:p w:rsidR="00E24CAD" w:rsidRDefault="0097373B">
            <w:pPr>
              <w:pStyle w:val="TableParagraph"/>
              <w:tabs>
                <w:tab w:val="left" w:pos="470"/>
              </w:tabs>
              <w:spacing w:before="17" w:line="232" w:lineRule="auto"/>
              <w:ind w:right="1036" w:hanging="1"/>
              <w:rPr>
                <w:sz w:val="17"/>
              </w:rPr>
            </w:pPr>
            <w:r>
              <w:rPr>
                <w:sz w:val="17"/>
              </w:rPr>
              <w:t>h.</w:t>
            </w:r>
            <w:r>
              <w:rPr>
                <w:sz w:val="17"/>
              </w:rPr>
              <w:tab/>
              <w:t>Behind escutcheon plates at valve pipe penetrations and showerheads in</w:t>
            </w:r>
            <w:r>
              <w:rPr>
                <w:spacing w:val="1"/>
                <w:sz w:val="17"/>
              </w:rPr>
              <w:t xml:space="preserve"> </w:t>
            </w:r>
            <w:r>
              <w:rPr>
                <w:sz w:val="17"/>
              </w:rPr>
              <w:t>showers.</w:t>
            </w:r>
          </w:p>
        </w:tc>
        <w:tc>
          <w:tcPr>
            <w:tcW w:w="1858" w:type="dxa"/>
          </w:tcPr>
          <w:p w:rsidR="00E24CAD" w:rsidRDefault="003D0294">
            <w:pPr>
              <w:pStyle w:val="TableParagraph"/>
              <w:tabs>
                <w:tab w:val="left" w:pos="678"/>
              </w:tabs>
              <w:rPr>
                <w:sz w:val="17"/>
              </w:rPr>
            </w:pPr>
            <w:r>
              <w:rPr>
                <w:sz w:val="17"/>
              </w:rPr>
              <w:t>As Selected</w:t>
            </w:r>
          </w:p>
        </w:tc>
      </w:tr>
    </w:tbl>
    <w:p w:rsidR="00E24CAD" w:rsidRDefault="00E24CAD">
      <w:pPr>
        <w:pStyle w:val="BodyText"/>
        <w:spacing w:before="2"/>
        <w:rPr>
          <w:sz w:val="10"/>
        </w:rPr>
      </w:pPr>
    </w:p>
    <w:p w:rsidR="00E24CAD" w:rsidRDefault="0097373B">
      <w:pPr>
        <w:pStyle w:val="ListParagraph"/>
        <w:numPr>
          <w:ilvl w:val="2"/>
          <w:numId w:val="6"/>
        </w:numPr>
        <w:tabs>
          <w:tab w:val="left" w:pos="1140"/>
          <w:tab w:val="left" w:pos="1141"/>
        </w:tabs>
        <w:spacing w:before="100"/>
        <w:ind w:left="1140" w:hanging="960"/>
        <w:rPr>
          <w:sz w:val="20"/>
        </w:rPr>
      </w:pPr>
      <w:r>
        <w:rPr>
          <w:sz w:val="20"/>
        </w:rPr>
        <w:t>Exterior</w:t>
      </w:r>
      <w:r>
        <w:rPr>
          <w:spacing w:val="-1"/>
          <w:sz w:val="20"/>
        </w:rPr>
        <w:t xml:space="preserve"> </w:t>
      </w:r>
      <w:r>
        <w:rPr>
          <w:sz w:val="20"/>
        </w:rPr>
        <w:t>Sealants</w:t>
      </w:r>
    </w:p>
    <w:p w:rsidR="00E24CAD" w:rsidRDefault="00E24CAD">
      <w:pPr>
        <w:pStyle w:val="BodyText"/>
        <w:spacing w:before="3"/>
        <w:rPr>
          <w:sz w:val="19"/>
        </w:rPr>
      </w:pPr>
    </w:p>
    <w:p w:rsidR="00E24CAD" w:rsidRDefault="0097373B">
      <w:pPr>
        <w:pStyle w:val="BodyText"/>
        <w:tabs>
          <w:tab w:val="left" w:pos="2679"/>
          <w:tab w:val="left" w:pos="2918"/>
          <w:tab w:val="left" w:pos="5198"/>
        </w:tabs>
        <w:spacing w:line="232" w:lineRule="auto"/>
        <w:ind w:left="399" w:right="219"/>
      </w:pPr>
      <w:r>
        <w:t>For joints in vertical surfaces, provide ASTM C920, Type S or M, Grade NS, Class 25,</w:t>
      </w:r>
      <w:r>
        <w:rPr>
          <w:spacing w:val="-2"/>
        </w:rPr>
        <w:t xml:space="preserve"> </w:t>
      </w:r>
      <w:r>
        <w:t>Use</w:t>
      </w:r>
      <w:r>
        <w:rPr>
          <w:spacing w:val="-1"/>
        </w:rPr>
        <w:t xml:space="preserve"> </w:t>
      </w:r>
      <w:r>
        <w:t>NT.</w:t>
      </w:r>
      <w:r>
        <w:tab/>
        <w:t>For joints in horizontal surfaces, provide ASTM C920, Type S or M, Grade P, Class 25,</w:t>
      </w:r>
      <w:r>
        <w:rPr>
          <w:spacing w:val="-6"/>
        </w:rPr>
        <w:t xml:space="preserve"> </w:t>
      </w:r>
      <w:r>
        <w:t>Use</w:t>
      </w:r>
      <w:r>
        <w:rPr>
          <w:spacing w:val="-1"/>
        </w:rPr>
        <w:t xml:space="preserve"> </w:t>
      </w:r>
      <w:r>
        <w:t>T.</w:t>
      </w:r>
      <w:r>
        <w:tab/>
        <w:t>Provide location(s) and color(s) of sealant</w:t>
      </w:r>
      <w:r>
        <w:rPr>
          <w:spacing w:val="-3"/>
        </w:rPr>
        <w:t xml:space="preserve"> </w:t>
      </w:r>
      <w:r>
        <w:t>as</w:t>
      </w:r>
      <w:r>
        <w:rPr>
          <w:spacing w:val="-3"/>
        </w:rPr>
        <w:t xml:space="preserve"> </w:t>
      </w:r>
      <w:r>
        <w:t>follows.</w:t>
      </w:r>
      <w:r>
        <w:tab/>
      </w:r>
      <w:r>
        <w:tab/>
        <w:t>Note, color "as selected" refers to manufacturer's full range of color</w:t>
      </w:r>
      <w:r>
        <w:rPr>
          <w:spacing w:val="-1"/>
        </w:rPr>
        <w:t xml:space="preserve"> </w:t>
      </w:r>
      <w:r>
        <w:t>options:</w:t>
      </w:r>
    </w:p>
    <w:p w:rsidR="00E24CAD" w:rsidRDefault="00E24CAD">
      <w:pPr>
        <w:pStyle w:val="BodyText"/>
        <w:spacing w:after="1"/>
        <w:rPr>
          <w:sz w:val="21"/>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95"/>
        <w:gridCol w:w="1987"/>
      </w:tblGrid>
      <w:tr w:rsidR="00E24CAD">
        <w:trPr>
          <w:trHeight w:val="474"/>
        </w:trPr>
        <w:tc>
          <w:tcPr>
            <w:tcW w:w="4795" w:type="dxa"/>
          </w:tcPr>
          <w:p w:rsidR="00E24CAD" w:rsidRDefault="0097373B">
            <w:pPr>
              <w:pStyle w:val="TableParagraph"/>
              <w:spacing w:before="16"/>
              <w:rPr>
                <w:sz w:val="17"/>
              </w:rPr>
            </w:pPr>
            <w:r>
              <w:rPr>
                <w:sz w:val="17"/>
              </w:rPr>
              <w:t>LOCATION</w:t>
            </w:r>
          </w:p>
        </w:tc>
        <w:tc>
          <w:tcPr>
            <w:tcW w:w="1987" w:type="dxa"/>
          </w:tcPr>
          <w:p w:rsidR="00E24CAD" w:rsidRDefault="0097373B">
            <w:pPr>
              <w:pStyle w:val="TableParagraph"/>
              <w:spacing w:before="16"/>
              <w:rPr>
                <w:sz w:val="17"/>
              </w:rPr>
            </w:pPr>
            <w:r>
              <w:rPr>
                <w:sz w:val="17"/>
              </w:rPr>
              <w:t>COLOR</w:t>
            </w:r>
          </w:p>
        </w:tc>
      </w:tr>
      <w:tr w:rsidR="00E24CAD">
        <w:trPr>
          <w:trHeight w:val="1669"/>
        </w:trPr>
        <w:tc>
          <w:tcPr>
            <w:tcW w:w="4795" w:type="dxa"/>
          </w:tcPr>
          <w:p w:rsidR="00E24CAD" w:rsidRDefault="0097373B">
            <w:pPr>
              <w:pStyle w:val="TableParagraph"/>
              <w:tabs>
                <w:tab w:val="left" w:pos="470"/>
                <w:tab w:val="left" w:pos="985"/>
              </w:tabs>
              <w:spacing w:before="21" w:line="232" w:lineRule="auto"/>
              <w:ind w:right="179" w:hanging="1"/>
              <w:rPr>
                <w:sz w:val="17"/>
              </w:rPr>
            </w:pPr>
            <w:r>
              <w:rPr>
                <w:sz w:val="17"/>
              </w:rPr>
              <w:t>a.</w:t>
            </w:r>
            <w:r>
              <w:rPr>
                <w:sz w:val="17"/>
              </w:rPr>
              <w:tab/>
              <w:t>Joints and recesses formed where frames and sub</w:t>
            </w:r>
            <w:r w:rsidR="003D0294">
              <w:rPr>
                <w:sz w:val="17"/>
              </w:rPr>
              <w:t>-</w:t>
            </w:r>
            <w:r>
              <w:rPr>
                <w:sz w:val="17"/>
              </w:rPr>
              <w:t>sills of windows, doors, louvers, and vents adjoin masonry, concrete, or metal frames.</w:t>
            </w:r>
            <w:r>
              <w:rPr>
                <w:sz w:val="17"/>
              </w:rPr>
              <w:tab/>
              <w:t>Use sealant at both exterior and interior surfaces of exterior wall penetrations.</w:t>
            </w:r>
          </w:p>
        </w:tc>
        <w:tc>
          <w:tcPr>
            <w:tcW w:w="1987" w:type="dxa"/>
          </w:tcPr>
          <w:p w:rsidR="00E24CAD" w:rsidRDefault="003D0294">
            <w:pPr>
              <w:pStyle w:val="TableParagraph"/>
              <w:tabs>
                <w:tab w:val="left" w:pos="678"/>
              </w:tabs>
              <w:spacing w:before="21" w:line="232" w:lineRule="auto"/>
              <w:ind w:right="363"/>
              <w:rPr>
                <w:sz w:val="17"/>
              </w:rPr>
            </w:pPr>
            <w:r>
              <w:rPr>
                <w:sz w:val="17"/>
              </w:rPr>
              <w:t>As Selected</w:t>
            </w:r>
          </w:p>
        </w:tc>
      </w:tr>
      <w:tr w:rsidR="00E24CAD">
        <w:trPr>
          <w:trHeight w:val="719"/>
        </w:trPr>
        <w:tc>
          <w:tcPr>
            <w:tcW w:w="4795" w:type="dxa"/>
          </w:tcPr>
          <w:p w:rsidR="00E24CAD" w:rsidRDefault="0097373B">
            <w:pPr>
              <w:pStyle w:val="TableParagraph"/>
              <w:tabs>
                <w:tab w:val="left" w:pos="470"/>
              </w:tabs>
              <w:spacing w:before="21" w:line="232" w:lineRule="auto"/>
              <w:ind w:right="179" w:hanging="1"/>
              <w:rPr>
                <w:sz w:val="17"/>
              </w:rPr>
            </w:pPr>
            <w:r>
              <w:rPr>
                <w:sz w:val="17"/>
              </w:rPr>
              <w:t>b.</w:t>
            </w:r>
            <w:r>
              <w:rPr>
                <w:sz w:val="17"/>
              </w:rPr>
              <w:tab/>
              <w:t>Joints between new and existing exterior masonry walls.</w:t>
            </w:r>
          </w:p>
        </w:tc>
        <w:tc>
          <w:tcPr>
            <w:tcW w:w="1987" w:type="dxa"/>
          </w:tcPr>
          <w:p w:rsidR="00E24CAD" w:rsidRDefault="003D0294">
            <w:pPr>
              <w:pStyle w:val="TableParagraph"/>
              <w:tabs>
                <w:tab w:val="left" w:pos="678"/>
              </w:tabs>
              <w:spacing w:before="16"/>
              <w:rPr>
                <w:sz w:val="17"/>
              </w:rPr>
            </w:pPr>
            <w:r>
              <w:rPr>
                <w:sz w:val="17"/>
              </w:rPr>
              <w:t>As Selected</w:t>
            </w:r>
          </w:p>
        </w:tc>
      </w:tr>
      <w:tr w:rsidR="00E24CAD">
        <w:trPr>
          <w:trHeight w:val="719"/>
        </w:trPr>
        <w:tc>
          <w:tcPr>
            <w:tcW w:w="4795" w:type="dxa"/>
          </w:tcPr>
          <w:p w:rsidR="00E24CAD" w:rsidRDefault="0097373B">
            <w:pPr>
              <w:pStyle w:val="TableParagraph"/>
              <w:tabs>
                <w:tab w:val="left" w:pos="470"/>
              </w:tabs>
              <w:spacing w:before="16"/>
              <w:rPr>
                <w:sz w:val="17"/>
              </w:rPr>
            </w:pPr>
            <w:r>
              <w:rPr>
                <w:sz w:val="17"/>
              </w:rPr>
              <w:t>c.</w:t>
            </w:r>
            <w:r>
              <w:rPr>
                <w:sz w:val="17"/>
              </w:rPr>
              <w:tab/>
              <w:t>Masonry joints where shelf angles</w:t>
            </w:r>
            <w:r>
              <w:rPr>
                <w:spacing w:val="17"/>
                <w:sz w:val="17"/>
              </w:rPr>
              <w:t xml:space="preserve"> </w:t>
            </w:r>
            <w:r>
              <w:rPr>
                <w:sz w:val="17"/>
              </w:rPr>
              <w:t>occur.</w:t>
            </w:r>
          </w:p>
        </w:tc>
        <w:tc>
          <w:tcPr>
            <w:tcW w:w="1987" w:type="dxa"/>
          </w:tcPr>
          <w:p w:rsidR="00E24CAD" w:rsidRDefault="003D0294">
            <w:pPr>
              <w:pStyle w:val="TableParagraph"/>
              <w:tabs>
                <w:tab w:val="left" w:pos="678"/>
              </w:tabs>
              <w:spacing w:before="16"/>
              <w:rPr>
                <w:sz w:val="17"/>
              </w:rPr>
            </w:pPr>
            <w:r>
              <w:rPr>
                <w:sz w:val="17"/>
              </w:rPr>
              <w:t>As Selected</w:t>
            </w:r>
          </w:p>
        </w:tc>
      </w:tr>
      <w:tr w:rsidR="00E24CAD">
        <w:trPr>
          <w:trHeight w:val="474"/>
        </w:trPr>
        <w:tc>
          <w:tcPr>
            <w:tcW w:w="4795" w:type="dxa"/>
          </w:tcPr>
          <w:p w:rsidR="00E24CAD" w:rsidRDefault="0097373B">
            <w:pPr>
              <w:pStyle w:val="TableParagraph"/>
              <w:tabs>
                <w:tab w:val="left" w:pos="470"/>
              </w:tabs>
              <w:rPr>
                <w:sz w:val="17"/>
              </w:rPr>
            </w:pPr>
            <w:r>
              <w:rPr>
                <w:sz w:val="17"/>
              </w:rPr>
              <w:t>d.</w:t>
            </w:r>
            <w:r>
              <w:rPr>
                <w:sz w:val="17"/>
              </w:rPr>
              <w:tab/>
              <w:t>Joints in wash surfaces of</w:t>
            </w:r>
            <w:r>
              <w:rPr>
                <w:spacing w:val="13"/>
                <w:sz w:val="17"/>
              </w:rPr>
              <w:t xml:space="preserve"> </w:t>
            </w:r>
            <w:r>
              <w:rPr>
                <w:sz w:val="17"/>
              </w:rPr>
              <w:t>stonework.</w:t>
            </w:r>
          </w:p>
        </w:tc>
        <w:tc>
          <w:tcPr>
            <w:tcW w:w="1987" w:type="dxa"/>
          </w:tcPr>
          <w:p w:rsidR="00E24CAD" w:rsidRDefault="003D0294">
            <w:pPr>
              <w:pStyle w:val="TableParagraph"/>
              <w:tabs>
                <w:tab w:val="left" w:pos="678"/>
              </w:tabs>
              <w:rPr>
                <w:sz w:val="17"/>
              </w:rPr>
            </w:pPr>
            <w:r>
              <w:rPr>
                <w:sz w:val="17"/>
              </w:rPr>
              <w:t>As Selected</w:t>
            </w:r>
          </w:p>
        </w:tc>
      </w:tr>
      <w:tr w:rsidR="00E24CAD">
        <w:trPr>
          <w:trHeight w:val="474"/>
        </w:trPr>
        <w:tc>
          <w:tcPr>
            <w:tcW w:w="4795" w:type="dxa"/>
          </w:tcPr>
          <w:p w:rsidR="00E24CAD" w:rsidRDefault="0097373B">
            <w:pPr>
              <w:pStyle w:val="TableParagraph"/>
              <w:tabs>
                <w:tab w:val="left" w:pos="470"/>
              </w:tabs>
              <w:rPr>
                <w:sz w:val="17"/>
              </w:rPr>
            </w:pPr>
            <w:r>
              <w:rPr>
                <w:sz w:val="17"/>
              </w:rPr>
              <w:t>e.</w:t>
            </w:r>
            <w:r>
              <w:rPr>
                <w:sz w:val="17"/>
              </w:rPr>
              <w:tab/>
              <w:t>Expansion and control</w:t>
            </w:r>
            <w:r>
              <w:rPr>
                <w:spacing w:val="5"/>
                <w:sz w:val="17"/>
              </w:rPr>
              <w:t xml:space="preserve"> </w:t>
            </w:r>
            <w:r>
              <w:rPr>
                <w:sz w:val="17"/>
              </w:rPr>
              <w:t>joints.</w:t>
            </w:r>
          </w:p>
        </w:tc>
        <w:tc>
          <w:tcPr>
            <w:tcW w:w="1987" w:type="dxa"/>
          </w:tcPr>
          <w:p w:rsidR="00E24CAD" w:rsidRDefault="003D0294">
            <w:pPr>
              <w:pStyle w:val="TableParagraph"/>
              <w:tabs>
                <w:tab w:val="left" w:pos="678"/>
              </w:tabs>
              <w:rPr>
                <w:sz w:val="17"/>
              </w:rPr>
            </w:pPr>
            <w:r>
              <w:rPr>
                <w:sz w:val="17"/>
              </w:rPr>
              <w:t>As Selected</w:t>
            </w:r>
          </w:p>
        </w:tc>
      </w:tr>
      <w:tr w:rsidR="00E24CAD">
        <w:trPr>
          <w:trHeight w:val="1194"/>
        </w:trPr>
        <w:tc>
          <w:tcPr>
            <w:tcW w:w="4795" w:type="dxa"/>
          </w:tcPr>
          <w:p w:rsidR="00E24CAD" w:rsidRDefault="0097373B">
            <w:pPr>
              <w:pStyle w:val="TableParagraph"/>
              <w:tabs>
                <w:tab w:val="left" w:pos="470"/>
              </w:tabs>
              <w:spacing w:before="16" w:line="232" w:lineRule="auto"/>
              <w:ind w:right="592"/>
              <w:rPr>
                <w:sz w:val="17"/>
              </w:rPr>
            </w:pPr>
            <w:r>
              <w:rPr>
                <w:sz w:val="17"/>
              </w:rPr>
              <w:t>f.</w:t>
            </w:r>
            <w:r>
              <w:rPr>
                <w:sz w:val="17"/>
              </w:rPr>
              <w:tab/>
              <w:t>Interior face of expansion joints in exterior concrete or masonry walls where metal expansion joint covers are not required.</w:t>
            </w:r>
          </w:p>
        </w:tc>
        <w:tc>
          <w:tcPr>
            <w:tcW w:w="1987" w:type="dxa"/>
          </w:tcPr>
          <w:p w:rsidR="00E24CAD" w:rsidRDefault="003D0294">
            <w:pPr>
              <w:pStyle w:val="TableParagraph"/>
              <w:tabs>
                <w:tab w:val="left" w:pos="678"/>
              </w:tabs>
              <w:rPr>
                <w:sz w:val="17"/>
              </w:rPr>
            </w:pPr>
            <w:r>
              <w:rPr>
                <w:sz w:val="17"/>
              </w:rPr>
              <w:t>As Selected</w:t>
            </w:r>
          </w:p>
        </w:tc>
      </w:tr>
      <w:tr w:rsidR="00E24CAD">
        <w:trPr>
          <w:trHeight w:val="719"/>
        </w:trPr>
        <w:tc>
          <w:tcPr>
            <w:tcW w:w="4795" w:type="dxa"/>
          </w:tcPr>
          <w:p w:rsidR="00E24CAD" w:rsidRDefault="0097373B">
            <w:pPr>
              <w:pStyle w:val="TableParagraph"/>
              <w:tabs>
                <w:tab w:val="left" w:pos="470"/>
              </w:tabs>
              <w:spacing w:before="16" w:line="232" w:lineRule="auto"/>
              <w:ind w:right="282" w:hanging="1"/>
              <w:rPr>
                <w:sz w:val="17"/>
              </w:rPr>
            </w:pPr>
            <w:r>
              <w:rPr>
                <w:sz w:val="17"/>
              </w:rPr>
              <w:t>g.</w:t>
            </w:r>
            <w:r>
              <w:rPr>
                <w:sz w:val="17"/>
              </w:rPr>
              <w:tab/>
              <w:t>Voids where items pass through exterior walls.</w:t>
            </w:r>
          </w:p>
        </w:tc>
        <w:tc>
          <w:tcPr>
            <w:tcW w:w="1987" w:type="dxa"/>
          </w:tcPr>
          <w:p w:rsidR="00E24CAD" w:rsidRDefault="003D0294">
            <w:pPr>
              <w:pStyle w:val="TableParagraph"/>
              <w:tabs>
                <w:tab w:val="left" w:pos="678"/>
              </w:tabs>
              <w:rPr>
                <w:sz w:val="17"/>
              </w:rPr>
            </w:pPr>
            <w:r>
              <w:rPr>
                <w:sz w:val="17"/>
              </w:rPr>
              <w:t>As Selected</w:t>
            </w:r>
          </w:p>
        </w:tc>
      </w:tr>
      <w:tr w:rsidR="00E24CAD">
        <w:trPr>
          <w:trHeight w:val="949"/>
        </w:trPr>
        <w:tc>
          <w:tcPr>
            <w:tcW w:w="4795" w:type="dxa"/>
          </w:tcPr>
          <w:p w:rsidR="00E24CAD" w:rsidRDefault="0097373B">
            <w:pPr>
              <w:pStyle w:val="TableParagraph"/>
              <w:tabs>
                <w:tab w:val="left" w:pos="470"/>
              </w:tabs>
              <w:spacing w:before="16" w:line="232" w:lineRule="auto"/>
              <w:ind w:right="591" w:hanging="1"/>
              <w:rPr>
                <w:sz w:val="17"/>
              </w:rPr>
            </w:pPr>
            <w:r>
              <w:rPr>
                <w:sz w:val="17"/>
              </w:rPr>
              <w:t>h.</w:t>
            </w:r>
            <w:r>
              <w:rPr>
                <w:sz w:val="17"/>
              </w:rPr>
              <w:tab/>
              <w:t>Metal reglets, where flashing is inserted into masonry joints, and where flashing is penetrated by coping</w:t>
            </w:r>
            <w:r>
              <w:rPr>
                <w:spacing w:val="22"/>
                <w:sz w:val="17"/>
              </w:rPr>
              <w:t xml:space="preserve"> </w:t>
            </w:r>
            <w:r>
              <w:rPr>
                <w:sz w:val="17"/>
              </w:rPr>
              <w:t>dowels.</w:t>
            </w:r>
          </w:p>
        </w:tc>
        <w:tc>
          <w:tcPr>
            <w:tcW w:w="1987" w:type="dxa"/>
          </w:tcPr>
          <w:p w:rsidR="00E24CAD" w:rsidRDefault="003D0294">
            <w:pPr>
              <w:pStyle w:val="TableParagraph"/>
              <w:tabs>
                <w:tab w:val="left" w:pos="678"/>
              </w:tabs>
              <w:rPr>
                <w:sz w:val="17"/>
              </w:rPr>
            </w:pPr>
            <w:r>
              <w:rPr>
                <w:sz w:val="17"/>
              </w:rPr>
              <w:t>As Selected</w:t>
            </w:r>
          </w:p>
        </w:tc>
      </w:tr>
      <w:tr w:rsidR="00E24CAD">
        <w:trPr>
          <w:trHeight w:val="719"/>
        </w:trPr>
        <w:tc>
          <w:tcPr>
            <w:tcW w:w="4795" w:type="dxa"/>
          </w:tcPr>
          <w:p w:rsidR="00E24CAD" w:rsidRDefault="0097373B">
            <w:pPr>
              <w:pStyle w:val="TableParagraph"/>
              <w:tabs>
                <w:tab w:val="left" w:pos="470"/>
              </w:tabs>
              <w:spacing w:before="17" w:line="232" w:lineRule="auto"/>
              <w:ind w:right="385" w:hanging="1"/>
              <w:rPr>
                <w:sz w:val="17"/>
              </w:rPr>
            </w:pPr>
            <w:r>
              <w:rPr>
                <w:sz w:val="17"/>
              </w:rPr>
              <w:t>i.</w:t>
            </w:r>
            <w:r>
              <w:rPr>
                <w:sz w:val="17"/>
              </w:rPr>
              <w:tab/>
              <w:t>Metal-to-metal joints where sealant is indicated or</w:t>
            </w:r>
            <w:r>
              <w:rPr>
                <w:spacing w:val="2"/>
                <w:sz w:val="17"/>
              </w:rPr>
              <w:t xml:space="preserve"> </w:t>
            </w:r>
            <w:r>
              <w:rPr>
                <w:sz w:val="17"/>
              </w:rPr>
              <w:t>specified.</w:t>
            </w:r>
          </w:p>
        </w:tc>
        <w:tc>
          <w:tcPr>
            <w:tcW w:w="1987" w:type="dxa"/>
          </w:tcPr>
          <w:p w:rsidR="00E24CAD" w:rsidRDefault="003D0294">
            <w:pPr>
              <w:pStyle w:val="TableParagraph"/>
              <w:tabs>
                <w:tab w:val="left" w:pos="678"/>
              </w:tabs>
              <w:rPr>
                <w:sz w:val="17"/>
              </w:rPr>
            </w:pPr>
            <w:r>
              <w:rPr>
                <w:sz w:val="17"/>
              </w:rPr>
              <w:t>As Selected</w:t>
            </w:r>
          </w:p>
        </w:tc>
      </w:tr>
      <w:tr w:rsidR="00E24CAD">
        <w:trPr>
          <w:trHeight w:val="719"/>
        </w:trPr>
        <w:tc>
          <w:tcPr>
            <w:tcW w:w="4795" w:type="dxa"/>
          </w:tcPr>
          <w:p w:rsidR="00E24CAD" w:rsidRDefault="0097373B">
            <w:pPr>
              <w:pStyle w:val="TableParagraph"/>
              <w:tabs>
                <w:tab w:val="left" w:pos="470"/>
              </w:tabs>
              <w:spacing w:before="17" w:line="232" w:lineRule="auto"/>
              <w:ind w:right="592" w:hanging="1"/>
              <w:rPr>
                <w:sz w:val="17"/>
              </w:rPr>
            </w:pPr>
            <w:r>
              <w:rPr>
                <w:sz w:val="17"/>
              </w:rPr>
              <w:t>j.</w:t>
            </w:r>
            <w:r>
              <w:rPr>
                <w:sz w:val="17"/>
              </w:rPr>
              <w:tab/>
              <w:t>Joints between ends of gravel stops, fasciae, copings, and adjacent</w:t>
            </w:r>
            <w:r>
              <w:rPr>
                <w:spacing w:val="12"/>
                <w:sz w:val="17"/>
              </w:rPr>
              <w:t xml:space="preserve"> </w:t>
            </w:r>
            <w:r>
              <w:rPr>
                <w:sz w:val="17"/>
              </w:rPr>
              <w:t>walls.</w:t>
            </w:r>
          </w:p>
        </w:tc>
        <w:tc>
          <w:tcPr>
            <w:tcW w:w="1987" w:type="dxa"/>
          </w:tcPr>
          <w:p w:rsidR="00E24CAD" w:rsidRDefault="003E5417">
            <w:pPr>
              <w:pStyle w:val="TableParagraph"/>
              <w:tabs>
                <w:tab w:val="left" w:pos="678"/>
              </w:tabs>
              <w:rPr>
                <w:sz w:val="17"/>
              </w:rPr>
            </w:pPr>
            <w:r>
              <w:rPr>
                <w:sz w:val="17"/>
              </w:rPr>
              <w:t>As selected</w:t>
            </w:r>
          </w:p>
        </w:tc>
      </w:tr>
    </w:tbl>
    <w:p w:rsidR="00E24CAD" w:rsidRDefault="00E24CAD">
      <w:pPr>
        <w:pStyle w:val="BodyText"/>
        <w:spacing w:before="9"/>
        <w:rPr>
          <w:sz w:val="9"/>
        </w:rPr>
      </w:pPr>
    </w:p>
    <w:p w:rsidR="00E24CAD" w:rsidRDefault="0097373B">
      <w:pPr>
        <w:pStyle w:val="ListParagraph"/>
        <w:numPr>
          <w:ilvl w:val="2"/>
          <w:numId w:val="6"/>
        </w:numPr>
        <w:tabs>
          <w:tab w:val="left" w:pos="1140"/>
          <w:tab w:val="left" w:pos="1141"/>
        </w:tabs>
        <w:spacing w:before="100"/>
        <w:ind w:left="1140" w:hanging="960"/>
        <w:rPr>
          <w:sz w:val="20"/>
        </w:rPr>
      </w:pPr>
      <w:r>
        <w:rPr>
          <w:sz w:val="20"/>
        </w:rPr>
        <w:t>Floor Joint</w:t>
      </w:r>
      <w:r>
        <w:rPr>
          <w:spacing w:val="-1"/>
          <w:sz w:val="20"/>
        </w:rPr>
        <w:t xml:space="preserve"> </w:t>
      </w:r>
      <w:r>
        <w:rPr>
          <w:sz w:val="20"/>
        </w:rPr>
        <w:t>Sealants</w:t>
      </w:r>
    </w:p>
    <w:p w:rsidR="00E24CAD" w:rsidRDefault="00E24CAD">
      <w:pPr>
        <w:pStyle w:val="BodyText"/>
        <w:spacing w:before="2"/>
        <w:rPr>
          <w:sz w:val="19"/>
        </w:rPr>
      </w:pPr>
    </w:p>
    <w:p w:rsidR="00E24CAD" w:rsidRDefault="0097373B">
      <w:pPr>
        <w:pStyle w:val="BodyText"/>
        <w:tabs>
          <w:tab w:val="left" w:pos="4838"/>
          <w:tab w:val="left" w:pos="6518"/>
          <w:tab w:val="left" w:pos="6998"/>
        </w:tabs>
        <w:spacing w:line="232" w:lineRule="auto"/>
        <w:ind w:left="399" w:right="219"/>
      </w:pPr>
      <w:r>
        <w:t>ASTM C920, Type S or M, Grade P, Class 25,</w:t>
      </w:r>
      <w:r>
        <w:rPr>
          <w:spacing w:val="-8"/>
        </w:rPr>
        <w:t xml:space="preserve"> </w:t>
      </w:r>
      <w:r>
        <w:t>Use</w:t>
      </w:r>
      <w:r>
        <w:rPr>
          <w:spacing w:val="-1"/>
        </w:rPr>
        <w:t xml:space="preserve"> </w:t>
      </w:r>
      <w:r>
        <w:t>T.</w:t>
      </w:r>
      <w:r>
        <w:tab/>
        <w:t>Provide certification of indoor air quality for interior floor</w:t>
      </w:r>
      <w:r>
        <w:rPr>
          <w:spacing w:val="-9"/>
        </w:rPr>
        <w:t xml:space="preserve"> </w:t>
      </w:r>
      <w:r>
        <w:t>joint</w:t>
      </w:r>
      <w:r>
        <w:rPr>
          <w:spacing w:val="-2"/>
        </w:rPr>
        <w:t xml:space="preserve"> </w:t>
      </w:r>
      <w:r>
        <w:t>sealants.</w:t>
      </w:r>
      <w:r>
        <w:tab/>
        <w:t>Provide location(s) and color(s) of sealant</w:t>
      </w:r>
      <w:r>
        <w:rPr>
          <w:spacing w:val="-5"/>
        </w:rPr>
        <w:t xml:space="preserve"> </w:t>
      </w:r>
      <w:r>
        <w:t>as</w:t>
      </w:r>
      <w:r>
        <w:rPr>
          <w:spacing w:val="-2"/>
        </w:rPr>
        <w:t xml:space="preserve"> </w:t>
      </w:r>
      <w:r>
        <w:t>follows.</w:t>
      </w:r>
      <w:r>
        <w:tab/>
        <w:t>Note, color "as selected" refers to manufacturer's full range of color</w:t>
      </w:r>
      <w:r>
        <w:rPr>
          <w:spacing w:val="-2"/>
        </w:rPr>
        <w:t xml:space="preserve"> </w:t>
      </w:r>
      <w:r>
        <w:t>options:</w:t>
      </w:r>
    </w:p>
    <w:p w:rsidR="00E24CAD" w:rsidRDefault="00E24CAD">
      <w:pPr>
        <w:pStyle w:val="BodyText"/>
        <w:rPr>
          <w:sz w:val="18"/>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66"/>
        <w:gridCol w:w="2247"/>
      </w:tblGrid>
      <w:tr w:rsidR="00E24CAD">
        <w:trPr>
          <w:trHeight w:val="460"/>
        </w:trPr>
        <w:tc>
          <w:tcPr>
            <w:tcW w:w="4666" w:type="dxa"/>
          </w:tcPr>
          <w:p w:rsidR="00E24CAD" w:rsidRDefault="0097373B">
            <w:pPr>
              <w:pStyle w:val="TableParagraph"/>
              <w:spacing w:before="16"/>
              <w:rPr>
                <w:sz w:val="17"/>
              </w:rPr>
            </w:pPr>
            <w:r>
              <w:rPr>
                <w:sz w:val="17"/>
              </w:rPr>
              <w:t>LOCATION</w:t>
            </w:r>
          </w:p>
        </w:tc>
        <w:tc>
          <w:tcPr>
            <w:tcW w:w="2247" w:type="dxa"/>
          </w:tcPr>
          <w:p w:rsidR="00E24CAD" w:rsidRDefault="0097373B">
            <w:pPr>
              <w:pStyle w:val="TableParagraph"/>
              <w:spacing w:before="16"/>
              <w:ind w:left="56"/>
              <w:rPr>
                <w:sz w:val="17"/>
              </w:rPr>
            </w:pPr>
            <w:r>
              <w:rPr>
                <w:sz w:val="17"/>
              </w:rPr>
              <w:t>COLOR</w:t>
            </w:r>
          </w:p>
        </w:tc>
      </w:tr>
      <w:tr w:rsidR="00E24CAD">
        <w:trPr>
          <w:trHeight w:val="705"/>
        </w:trPr>
        <w:tc>
          <w:tcPr>
            <w:tcW w:w="4666" w:type="dxa"/>
          </w:tcPr>
          <w:p w:rsidR="00E24CAD" w:rsidRDefault="0097373B">
            <w:pPr>
              <w:pStyle w:val="TableParagraph"/>
              <w:tabs>
                <w:tab w:val="left" w:pos="470"/>
              </w:tabs>
              <w:spacing w:before="20" w:line="232" w:lineRule="auto"/>
              <w:ind w:right="256" w:hanging="1"/>
              <w:rPr>
                <w:sz w:val="17"/>
              </w:rPr>
            </w:pPr>
            <w:r>
              <w:rPr>
                <w:sz w:val="17"/>
              </w:rPr>
              <w:t>a.</w:t>
            </w:r>
            <w:r>
              <w:rPr>
                <w:sz w:val="17"/>
              </w:rPr>
              <w:tab/>
              <w:t>Seats of metal thresholds for exterior doors.</w:t>
            </w:r>
          </w:p>
        </w:tc>
        <w:tc>
          <w:tcPr>
            <w:tcW w:w="2247" w:type="dxa"/>
          </w:tcPr>
          <w:p w:rsidR="00E24CAD" w:rsidRDefault="003E5417">
            <w:pPr>
              <w:pStyle w:val="TableParagraph"/>
              <w:tabs>
                <w:tab w:val="left" w:pos="1501"/>
              </w:tabs>
              <w:spacing w:before="20" w:line="232" w:lineRule="auto"/>
              <w:ind w:right="108" w:hanging="1"/>
              <w:rPr>
                <w:sz w:val="17"/>
              </w:rPr>
            </w:pPr>
            <w:r>
              <w:rPr>
                <w:sz w:val="17"/>
              </w:rPr>
              <w:t>As Selected</w:t>
            </w:r>
          </w:p>
        </w:tc>
      </w:tr>
      <w:tr w:rsidR="00E24CAD">
        <w:trPr>
          <w:trHeight w:val="906"/>
        </w:trPr>
        <w:tc>
          <w:tcPr>
            <w:tcW w:w="4666" w:type="dxa"/>
          </w:tcPr>
          <w:p w:rsidR="00E24CAD" w:rsidRDefault="0097373B">
            <w:pPr>
              <w:pStyle w:val="TableParagraph"/>
              <w:tabs>
                <w:tab w:val="left" w:pos="470"/>
              </w:tabs>
              <w:spacing w:before="21" w:line="232" w:lineRule="auto"/>
              <w:ind w:right="153" w:hanging="1"/>
              <w:rPr>
                <w:sz w:val="17"/>
              </w:rPr>
            </w:pPr>
            <w:r>
              <w:rPr>
                <w:sz w:val="17"/>
              </w:rPr>
              <w:t>b.</w:t>
            </w:r>
            <w:r>
              <w:rPr>
                <w:sz w:val="17"/>
              </w:rPr>
              <w:tab/>
              <w:t>Control and expansion joints in floors, slabs, ceramic tile, and</w:t>
            </w:r>
            <w:r>
              <w:rPr>
                <w:spacing w:val="7"/>
                <w:sz w:val="17"/>
              </w:rPr>
              <w:t xml:space="preserve"> </w:t>
            </w:r>
            <w:r>
              <w:rPr>
                <w:sz w:val="17"/>
              </w:rPr>
              <w:t>walkways.</w:t>
            </w:r>
          </w:p>
        </w:tc>
        <w:tc>
          <w:tcPr>
            <w:tcW w:w="2247" w:type="dxa"/>
          </w:tcPr>
          <w:p w:rsidR="00E24CAD" w:rsidRDefault="003E5417">
            <w:pPr>
              <w:pStyle w:val="TableParagraph"/>
              <w:tabs>
                <w:tab w:val="left" w:pos="677"/>
              </w:tabs>
              <w:spacing w:before="16"/>
              <w:ind w:left="56"/>
              <w:rPr>
                <w:sz w:val="17"/>
              </w:rPr>
            </w:pPr>
            <w:r>
              <w:rPr>
                <w:sz w:val="17"/>
              </w:rPr>
              <w:t>As Selected</w:t>
            </w:r>
          </w:p>
        </w:tc>
      </w:tr>
    </w:tbl>
    <w:p w:rsidR="00E24CAD" w:rsidRDefault="0097373B">
      <w:pPr>
        <w:pStyle w:val="ListParagraph"/>
        <w:numPr>
          <w:ilvl w:val="2"/>
          <w:numId w:val="6"/>
        </w:numPr>
        <w:tabs>
          <w:tab w:val="left" w:pos="1140"/>
          <w:tab w:val="left" w:pos="1141"/>
        </w:tabs>
        <w:spacing w:before="181"/>
        <w:ind w:left="1140" w:hanging="960"/>
        <w:rPr>
          <w:sz w:val="20"/>
        </w:rPr>
      </w:pPr>
      <w:r>
        <w:rPr>
          <w:sz w:val="20"/>
        </w:rPr>
        <w:t>Acoustical</w:t>
      </w:r>
      <w:r>
        <w:rPr>
          <w:spacing w:val="-1"/>
          <w:sz w:val="20"/>
        </w:rPr>
        <w:t xml:space="preserve"> </w:t>
      </w:r>
      <w:r>
        <w:rPr>
          <w:sz w:val="20"/>
        </w:rPr>
        <w:t>Sealants</w:t>
      </w:r>
    </w:p>
    <w:p w:rsidR="00E24CAD" w:rsidRDefault="00E24CAD">
      <w:pPr>
        <w:pStyle w:val="BodyText"/>
        <w:spacing w:before="7"/>
        <w:rPr>
          <w:sz w:val="19"/>
        </w:rPr>
      </w:pPr>
    </w:p>
    <w:p w:rsidR="00E24CAD" w:rsidRDefault="0097373B" w:rsidP="007F284A">
      <w:pPr>
        <w:pStyle w:val="BodyText"/>
        <w:tabs>
          <w:tab w:val="left" w:pos="1118"/>
        </w:tabs>
        <w:spacing w:line="224" w:lineRule="exact"/>
        <w:ind w:left="399"/>
      </w:pPr>
      <w:r>
        <w:t>Rubber or polymer based acoustical sealant in accordance</w:t>
      </w:r>
      <w:r>
        <w:rPr>
          <w:spacing w:val="-7"/>
        </w:rPr>
        <w:t xml:space="preserve"> </w:t>
      </w:r>
      <w:r>
        <w:t>with</w:t>
      </w:r>
      <w:r w:rsidR="007F284A">
        <w:t xml:space="preserve"> </w:t>
      </w:r>
      <w:r>
        <w:t>ASTM C919 to have a flame spread of 25 or less and a smoke developed rating</w:t>
      </w:r>
      <w:r w:rsidR="007F284A">
        <w:t xml:space="preserve"> </w:t>
      </w:r>
      <w:r w:rsidR="003E5417">
        <w:t xml:space="preserve">of </w:t>
      </w:r>
      <w:r>
        <w:t>50 or less when tested in accordance with</w:t>
      </w:r>
      <w:r>
        <w:rPr>
          <w:spacing w:val="-9"/>
        </w:rPr>
        <w:t xml:space="preserve"> </w:t>
      </w:r>
      <w:r>
        <w:t>ASTM</w:t>
      </w:r>
      <w:r>
        <w:rPr>
          <w:spacing w:val="-1"/>
        </w:rPr>
        <w:t xml:space="preserve"> </w:t>
      </w:r>
      <w:r w:rsidR="007F284A">
        <w:t xml:space="preserve">E84.  </w:t>
      </w:r>
      <w:r>
        <w:t>Provide</w:t>
      </w:r>
      <w:r w:rsidR="007F284A">
        <w:t xml:space="preserve"> </w:t>
      </w:r>
      <w:r>
        <w:t>non-staining acoustical sealant with a consistency of 250 to 310 when tested in accordance with</w:t>
      </w:r>
      <w:r>
        <w:rPr>
          <w:spacing w:val="-6"/>
        </w:rPr>
        <w:t xml:space="preserve"> </w:t>
      </w:r>
      <w:r>
        <w:t>ASTM</w:t>
      </w:r>
      <w:r>
        <w:rPr>
          <w:spacing w:val="-2"/>
        </w:rPr>
        <w:t xml:space="preserve"> </w:t>
      </w:r>
      <w:r>
        <w:t>D217.</w:t>
      </w:r>
      <w:r>
        <w:tab/>
        <w:t>Acoustical sealant must remain flexible and adhesive after 500 hours of accelerated weathering as specified in</w:t>
      </w:r>
      <w:r>
        <w:rPr>
          <w:spacing w:val="-3"/>
        </w:rPr>
        <w:t xml:space="preserve"> </w:t>
      </w:r>
      <w:r>
        <w:t>ASTM</w:t>
      </w:r>
      <w:r>
        <w:rPr>
          <w:spacing w:val="-2"/>
        </w:rPr>
        <w:t xml:space="preserve"> </w:t>
      </w:r>
      <w:r w:rsidR="007F284A">
        <w:t xml:space="preserve">C734.  </w:t>
      </w:r>
      <w:r>
        <w:t>Provide certification of indoor air quality for interior acoustical</w:t>
      </w:r>
      <w:r>
        <w:rPr>
          <w:spacing w:val="-1"/>
        </w:rPr>
        <w:t xml:space="preserve"> </w:t>
      </w:r>
      <w:r>
        <w:t>sealants.</w:t>
      </w:r>
    </w:p>
    <w:p w:rsidR="00E24CAD" w:rsidRDefault="00E24CAD">
      <w:pPr>
        <w:pStyle w:val="BodyText"/>
        <w:spacing w:before="1"/>
        <w:rPr>
          <w:sz w:val="19"/>
        </w:rPr>
      </w:pPr>
    </w:p>
    <w:p w:rsidR="00E24CAD" w:rsidRDefault="00E24CAD">
      <w:pPr>
        <w:pStyle w:val="BodyText"/>
        <w:spacing w:before="1"/>
        <w:rPr>
          <w:sz w:val="19"/>
        </w:rPr>
      </w:pPr>
    </w:p>
    <w:p w:rsidR="00E24CAD" w:rsidRDefault="0097373B">
      <w:pPr>
        <w:pStyle w:val="ListParagraph"/>
        <w:numPr>
          <w:ilvl w:val="1"/>
          <w:numId w:val="5"/>
        </w:numPr>
        <w:tabs>
          <w:tab w:val="left" w:pos="900"/>
          <w:tab w:val="left" w:pos="901"/>
        </w:tabs>
        <w:ind w:hanging="720"/>
        <w:rPr>
          <w:sz w:val="20"/>
        </w:rPr>
      </w:pPr>
      <w:r>
        <w:rPr>
          <w:sz w:val="20"/>
        </w:rPr>
        <w:t>PRIMERS</w:t>
      </w:r>
    </w:p>
    <w:p w:rsidR="00E24CAD" w:rsidRDefault="00E24CAD">
      <w:pPr>
        <w:pStyle w:val="BodyText"/>
        <w:spacing w:before="3"/>
        <w:rPr>
          <w:sz w:val="19"/>
        </w:rPr>
      </w:pPr>
    </w:p>
    <w:p w:rsidR="00E24CAD" w:rsidRDefault="0097373B">
      <w:pPr>
        <w:pStyle w:val="BodyText"/>
        <w:tabs>
          <w:tab w:val="left" w:pos="6878"/>
        </w:tabs>
        <w:spacing w:line="232" w:lineRule="auto"/>
        <w:ind w:left="399" w:right="339"/>
      </w:pPr>
      <w:r>
        <w:t>Non-staining, quick drying type and consistency as recommended by the sealant manufacturer for the</w:t>
      </w:r>
      <w:r>
        <w:rPr>
          <w:spacing w:val="-8"/>
        </w:rPr>
        <w:t xml:space="preserve"> </w:t>
      </w:r>
      <w:r>
        <w:t>particular</w:t>
      </w:r>
      <w:r>
        <w:rPr>
          <w:spacing w:val="-2"/>
        </w:rPr>
        <w:t xml:space="preserve"> </w:t>
      </w:r>
      <w:r>
        <w:t>application.</w:t>
      </w:r>
      <w:r>
        <w:tab/>
        <w:t>Provide primers for interior applications that meet the indoor air quality requirements of</w:t>
      </w:r>
      <w:r>
        <w:rPr>
          <w:spacing w:val="-16"/>
        </w:rPr>
        <w:t xml:space="preserve"> </w:t>
      </w:r>
      <w:r>
        <w:t>the paragraph SEALANTS</w:t>
      </w:r>
      <w:r>
        <w:rPr>
          <w:spacing w:val="-1"/>
        </w:rPr>
        <w:t xml:space="preserve"> </w:t>
      </w:r>
      <w:r>
        <w:t>above.</w:t>
      </w:r>
    </w:p>
    <w:p w:rsidR="00E24CAD" w:rsidRDefault="00E24CAD">
      <w:pPr>
        <w:pStyle w:val="BodyText"/>
        <w:spacing w:before="2"/>
        <w:rPr>
          <w:sz w:val="19"/>
        </w:rPr>
      </w:pPr>
    </w:p>
    <w:p w:rsidR="00E24CAD" w:rsidRDefault="0097373B">
      <w:pPr>
        <w:pStyle w:val="ListParagraph"/>
        <w:numPr>
          <w:ilvl w:val="1"/>
          <w:numId w:val="5"/>
        </w:numPr>
        <w:tabs>
          <w:tab w:val="left" w:pos="900"/>
          <w:tab w:val="left" w:pos="901"/>
        </w:tabs>
        <w:ind w:hanging="720"/>
        <w:rPr>
          <w:sz w:val="20"/>
        </w:rPr>
      </w:pPr>
      <w:r>
        <w:rPr>
          <w:sz w:val="20"/>
        </w:rPr>
        <w:t>BOND</w:t>
      </w:r>
      <w:r>
        <w:rPr>
          <w:spacing w:val="-3"/>
          <w:sz w:val="20"/>
        </w:rPr>
        <w:t xml:space="preserve"> </w:t>
      </w:r>
      <w:r>
        <w:rPr>
          <w:sz w:val="20"/>
        </w:rPr>
        <w:t>BREAKERS</w:t>
      </w:r>
    </w:p>
    <w:p w:rsidR="00E24CAD" w:rsidRDefault="00E24CAD">
      <w:pPr>
        <w:pStyle w:val="BodyText"/>
        <w:spacing w:before="2"/>
        <w:rPr>
          <w:sz w:val="19"/>
        </w:rPr>
      </w:pPr>
    </w:p>
    <w:p w:rsidR="00E24CAD" w:rsidRDefault="0097373B">
      <w:pPr>
        <w:pStyle w:val="BodyText"/>
        <w:spacing w:line="232" w:lineRule="auto"/>
        <w:ind w:left="399" w:right="319"/>
      </w:pPr>
      <w:r>
        <w:t>Type and consistency as recommended by the sealant manufacturer to prevent adhesion of the sealant to the backing or to the bottom of the joint.</w:t>
      </w:r>
    </w:p>
    <w:p w:rsidR="00E24CAD" w:rsidRDefault="0097373B">
      <w:pPr>
        <w:pStyle w:val="BodyText"/>
        <w:spacing w:line="232" w:lineRule="auto"/>
        <w:ind w:left="399" w:right="559"/>
      </w:pPr>
      <w:r>
        <w:t>Provide bond breakers for interior applications that meet the indoor air quality requirements of the paragraph SEALANTS above.</w:t>
      </w:r>
    </w:p>
    <w:p w:rsidR="00E24CAD" w:rsidRDefault="00E24CAD">
      <w:pPr>
        <w:pStyle w:val="BodyText"/>
        <w:rPr>
          <w:sz w:val="19"/>
        </w:rPr>
      </w:pPr>
    </w:p>
    <w:p w:rsidR="00E24CAD" w:rsidRDefault="0097373B">
      <w:pPr>
        <w:pStyle w:val="ListParagraph"/>
        <w:numPr>
          <w:ilvl w:val="1"/>
          <w:numId w:val="5"/>
        </w:numPr>
        <w:tabs>
          <w:tab w:val="left" w:pos="900"/>
          <w:tab w:val="left" w:pos="901"/>
        </w:tabs>
        <w:ind w:hanging="720"/>
        <w:rPr>
          <w:sz w:val="20"/>
        </w:rPr>
      </w:pPr>
      <w:r>
        <w:rPr>
          <w:sz w:val="20"/>
        </w:rPr>
        <w:t>BACKSTOPS</w:t>
      </w:r>
    </w:p>
    <w:p w:rsidR="00E24CAD" w:rsidRDefault="00E24CAD">
      <w:pPr>
        <w:pStyle w:val="BodyText"/>
        <w:spacing w:before="7"/>
        <w:rPr>
          <w:sz w:val="19"/>
        </w:rPr>
      </w:pPr>
    </w:p>
    <w:p w:rsidR="00E24CAD" w:rsidRDefault="0097373B" w:rsidP="007F284A">
      <w:pPr>
        <w:pStyle w:val="BodyText"/>
        <w:spacing w:line="230" w:lineRule="auto"/>
        <w:ind w:left="399" w:right="319"/>
      </w:pPr>
      <w:r>
        <w:t>Provide glass fiber roving, neoprene, butyl, polyurethane, or polyethylene foams free from oil or other staining elements as recommended by sealant</w:t>
      </w:r>
      <w:r w:rsidR="007F284A">
        <w:t xml:space="preserve"> manufacturer.  </w:t>
      </w:r>
      <w:r>
        <w:t>Provide 25 to 33 percent oversized backing for closed</w:t>
      </w:r>
      <w:r>
        <w:rPr>
          <w:spacing w:val="-12"/>
        </w:rPr>
        <w:t xml:space="preserve"> </w:t>
      </w:r>
      <w:r>
        <w:t>cell and 40 to 50 percent oversized backing for open cell material, unless otherwise</w:t>
      </w:r>
      <w:r>
        <w:rPr>
          <w:spacing w:val="-3"/>
        </w:rPr>
        <w:t xml:space="preserve"> </w:t>
      </w:r>
      <w:r>
        <w:t>indicated.</w:t>
      </w:r>
      <w:r>
        <w:tab/>
        <w:t>Provide backstop material that is compatible with sealant.</w:t>
      </w:r>
      <w:r>
        <w:tab/>
        <w:t>Do not use</w:t>
      </w:r>
      <w:r>
        <w:rPr>
          <w:spacing w:val="-3"/>
        </w:rPr>
        <w:t xml:space="preserve"> </w:t>
      </w:r>
      <w:r w:rsidR="00AB51E5">
        <w:t>oakum</w:t>
      </w:r>
      <w:r>
        <w:t xml:space="preserve"> or other types of absorptive materials as</w:t>
      </w:r>
      <w:r>
        <w:rPr>
          <w:spacing w:val="-1"/>
        </w:rPr>
        <w:t xml:space="preserve"> </w:t>
      </w:r>
      <w:r>
        <w:t>backstops.</w:t>
      </w:r>
    </w:p>
    <w:p w:rsidR="00E24CAD" w:rsidRDefault="00E24CAD">
      <w:pPr>
        <w:pStyle w:val="BodyText"/>
        <w:spacing w:before="1"/>
        <w:rPr>
          <w:sz w:val="19"/>
        </w:rPr>
      </w:pPr>
    </w:p>
    <w:p w:rsidR="00E24CAD" w:rsidRDefault="0097373B">
      <w:pPr>
        <w:pStyle w:val="ListParagraph"/>
        <w:numPr>
          <w:ilvl w:val="2"/>
          <w:numId w:val="5"/>
        </w:numPr>
        <w:tabs>
          <w:tab w:val="left" w:pos="1140"/>
          <w:tab w:val="left" w:pos="1141"/>
        </w:tabs>
        <w:ind w:hanging="960"/>
        <w:rPr>
          <w:sz w:val="20"/>
        </w:rPr>
      </w:pPr>
      <w:r>
        <w:rPr>
          <w:sz w:val="20"/>
        </w:rPr>
        <w:t>Rubber</w:t>
      </w:r>
    </w:p>
    <w:p w:rsidR="00E24CAD" w:rsidRDefault="00E24CAD">
      <w:pPr>
        <w:pStyle w:val="BodyText"/>
        <w:spacing w:before="7"/>
        <w:rPr>
          <w:sz w:val="19"/>
        </w:rPr>
      </w:pPr>
    </w:p>
    <w:p w:rsidR="00E24CAD" w:rsidRDefault="0097373B">
      <w:pPr>
        <w:pStyle w:val="BodyText"/>
        <w:tabs>
          <w:tab w:val="left" w:pos="2558"/>
          <w:tab w:val="left" w:pos="5798"/>
          <w:tab w:val="left" w:pos="7838"/>
        </w:tabs>
        <w:spacing w:before="1" w:line="232" w:lineRule="auto"/>
        <w:ind w:left="399" w:right="459"/>
      </w:pPr>
      <w:r>
        <w:t>Provide in accordance with ASTM D1</w:t>
      </w:r>
      <w:r w:rsidR="00A11267">
        <w:t xml:space="preserve">056, </w:t>
      </w:r>
      <w:r>
        <w:t>Type</w:t>
      </w:r>
      <w:r>
        <w:rPr>
          <w:spacing w:val="-15"/>
        </w:rPr>
        <w:t xml:space="preserve"> </w:t>
      </w:r>
      <w:r>
        <w:t>2, closed cell</w:t>
      </w:r>
      <w:r w:rsidR="00A11267">
        <w:t>, Class A</w:t>
      </w:r>
      <w:r>
        <w:t>,</w:t>
      </w:r>
      <w:r>
        <w:rPr>
          <w:spacing w:val="-6"/>
        </w:rPr>
        <w:t xml:space="preserve"> </w:t>
      </w:r>
      <w:r>
        <w:t>Grade</w:t>
      </w:r>
      <w:r>
        <w:rPr>
          <w:spacing w:val="-1"/>
        </w:rPr>
        <w:t xml:space="preserve"> </w:t>
      </w:r>
      <w:r w:rsidR="00A11267">
        <w:t>NS, round</w:t>
      </w:r>
      <w:r>
        <w:t xml:space="preserve"> cross section</w:t>
      </w:r>
      <w:r>
        <w:rPr>
          <w:spacing w:val="-1"/>
        </w:rPr>
        <w:t xml:space="preserve"> </w:t>
      </w:r>
      <w:r>
        <w:t>for</w:t>
      </w:r>
      <w:r>
        <w:rPr>
          <w:spacing w:val="-1"/>
        </w:rPr>
        <w:t xml:space="preserve"> </w:t>
      </w:r>
      <w:r>
        <w:t>cellular rubber sponge</w:t>
      </w:r>
      <w:r>
        <w:rPr>
          <w:spacing w:val="-2"/>
        </w:rPr>
        <w:t xml:space="preserve"> </w:t>
      </w:r>
      <w:r>
        <w:t>backing.</w:t>
      </w:r>
    </w:p>
    <w:p w:rsidR="00E24CAD" w:rsidRDefault="00E24CAD">
      <w:pPr>
        <w:pStyle w:val="BodyText"/>
        <w:spacing w:before="1"/>
        <w:rPr>
          <w:sz w:val="19"/>
        </w:rPr>
      </w:pPr>
    </w:p>
    <w:p w:rsidR="00E24CAD" w:rsidRDefault="00E24CAD">
      <w:pPr>
        <w:pStyle w:val="BodyText"/>
        <w:spacing w:before="10"/>
        <w:rPr>
          <w:sz w:val="18"/>
        </w:rPr>
      </w:pPr>
    </w:p>
    <w:p w:rsidR="00E24CAD" w:rsidRDefault="0097373B">
      <w:pPr>
        <w:pStyle w:val="ListParagraph"/>
        <w:numPr>
          <w:ilvl w:val="2"/>
          <w:numId w:val="5"/>
        </w:numPr>
        <w:tabs>
          <w:tab w:val="left" w:pos="1140"/>
          <w:tab w:val="left" w:pos="1141"/>
        </w:tabs>
        <w:ind w:hanging="960"/>
        <w:rPr>
          <w:sz w:val="20"/>
        </w:rPr>
      </w:pPr>
      <w:r>
        <w:rPr>
          <w:sz w:val="20"/>
        </w:rPr>
        <w:t>Synthetic</w:t>
      </w:r>
      <w:r>
        <w:rPr>
          <w:spacing w:val="-1"/>
          <w:sz w:val="20"/>
        </w:rPr>
        <w:t xml:space="preserve"> </w:t>
      </w:r>
      <w:r>
        <w:rPr>
          <w:sz w:val="20"/>
        </w:rPr>
        <w:t>Rubber</w:t>
      </w:r>
    </w:p>
    <w:p w:rsidR="00E24CAD" w:rsidRDefault="00E24CAD">
      <w:pPr>
        <w:pStyle w:val="BodyText"/>
        <w:spacing w:before="9"/>
        <w:rPr>
          <w:b/>
          <w:sz w:val="18"/>
        </w:rPr>
      </w:pPr>
    </w:p>
    <w:p w:rsidR="00E24CAD" w:rsidRDefault="0097373B">
      <w:pPr>
        <w:pStyle w:val="BodyText"/>
        <w:tabs>
          <w:tab w:val="left" w:pos="5198"/>
        </w:tabs>
        <w:spacing w:line="232" w:lineRule="auto"/>
        <w:ind w:left="399" w:right="1059"/>
      </w:pPr>
      <w:r>
        <w:t>Provide in acc</w:t>
      </w:r>
      <w:r w:rsidR="00A11267">
        <w:t xml:space="preserve">ordance with ASTM C509, Option I, Type I preformed rods </w:t>
      </w:r>
      <w:r>
        <w:t>for</w:t>
      </w:r>
      <w:r w:rsidR="00A11267">
        <w:rPr>
          <w:spacing w:val="-2"/>
        </w:rPr>
        <w:t xml:space="preserve"> </w:t>
      </w:r>
      <w:r>
        <w:t>synthetic rubber</w:t>
      </w:r>
      <w:r>
        <w:rPr>
          <w:spacing w:val="-5"/>
        </w:rPr>
        <w:t xml:space="preserve"> </w:t>
      </w:r>
      <w:r>
        <w:t>backing.</w:t>
      </w:r>
    </w:p>
    <w:p w:rsidR="00E24CAD" w:rsidRDefault="00E24CAD">
      <w:pPr>
        <w:pStyle w:val="BodyText"/>
        <w:rPr>
          <w:sz w:val="19"/>
        </w:rPr>
      </w:pPr>
    </w:p>
    <w:p w:rsidR="00E24CAD" w:rsidRDefault="0097373B">
      <w:pPr>
        <w:pStyle w:val="ListParagraph"/>
        <w:numPr>
          <w:ilvl w:val="2"/>
          <w:numId w:val="5"/>
        </w:numPr>
        <w:tabs>
          <w:tab w:val="left" w:pos="1140"/>
          <w:tab w:val="left" w:pos="1141"/>
        </w:tabs>
        <w:ind w:hanging="960"/>
        <w:rPr>
          <w:sz w:val="20"/>
        </w:rPr>
      </w:pPr>
      <w:r>
        <w:rPr>
          <w:sz w:val="20"/>
        </w:rPr>
        <w:t>Neoprene</w:t>
      </w:r>
    </w:p>
    <w:p w:rsidR="00E24CAD" w:rsidRDefault="00E24CAD">
      <w:pPr>
        <w:pStyle w:val="BodyText"/>
        <w:spacing w:before="5"/>
        <w:rPr>
          <w:sz w:val="19"/>
        </w:rPr>
      </w:pPr>
    </w:p>
    <w:p w:rsidR="00E24CAD" w:rsidRDefault="0097373B">
      <w:pPr>
        <w:pStyle w:val="BodyText"/>
        <w:tabs>
          <w:tab w:val="left" w:pos="3638"/>
          <w:tab w:val="left" w:pos="4598"/>
          <w:tab w:val="left" w:pos="5198"/>
        </w:tabs>
        <w:spacing w:line="232" w:lineRule="auto"/>
        <w:ind w:left="399" w:right="339"/>
      </w:pPr>
      <w:r>
        <w:t xml:space="preserve">Provide </w:t>
      </w:r>
      <w:r w:rsidR="002849EF">
        <w:t xml:space="preserve">in accordance with ASTM D1056, </w:t>
      </w:r>
      <w:r>
        <w:t>closed cell expanded neoprene</w:t>
      </w:r>
      <w:r>
        <w:rPr>
          <w:spacing w:val="-16"/>
        </w:rPr>
        <w:t xml:space="preserve"> </w:t>
      </w:r>
      <w:r>
        <w:t>cord Type 2, Class C, Grade</w:t>
      </w:r>
      <w:r>
        <w:rPr>
          <w:spacing w:val="-5"/>
        </w:rPr>
        <w:t xml:space="preserve"> </w:t>
      </w:r>
      <w:r w:rsidR="00A11267">
        <w:t>2C2</w:t>
      </w:r>
      <w:r w:rsidR="00A11267">
        <w:rPr>
          <w:spacing w:val="-1"/>
        </w:rPr>
        <w:t xml:space="preserve"> </w:t>
      </w:r>
      <w:r>
        <w:t>neoprene</w:t>
      </w:r>
      <w:r>
        <w:rPr>
          <w:spacing w:val="-1"/>
        </w:rPr>
        <w:t xml:space="preserve"> </w:t>
      </w:r>
      <w:r>
        <w:t>backing.</w:t>
      </w:r>
    </w:p>
    <w:p w:rsidR="00E24CAD" w:rsidRDefault="00E24CAD">
      <w:pPr>
        <w:pStyle w:val="BodyText"/>
        <w:spacing w:before="10"/>
        <w:rPr>
          <w:sz w:val="18"/>
        </w:rPr>
      </w:pPr>
    </w:p>
    <w:p w:rsidR="00E24CAD" w:rsidRDefault="0097373B">
      <w:pPr>
        <w:pStyle w:val="ListParagraph"/>
        <w:numPr>
          <w:ilvl w:val="2"/>
          <w:numId w:val="5"/>
        </w:numPr>
        <w:tabs>
          <w:tab w:val="left" w:pos="1140"/>
          <w:tab w:val="left" w:pos="1141"/>
        </w:tabs>
        <w:ind w:hanging="960"/>
        <w:rPr>
          <w:sz w:val="20"/>
        </w:rPr>
      </w:pPr>
      <w:r>
        <w:rPr>
          <w:sz w:val="20"/>
        </w:rPr>
        <w:t>Butyl Rubber</w:t>
      </w:r>
      <w:r>
        <w:rPr>
          <w:spacing w:val="-1"/>
          <w:sz w:val="20"/>
        </w:rPr>
        <w:t xml:space="preserve"> </w:t>
      </w:r>
      <w:r>
        <w:rPr>
          <w:sz w:val="20"/>
        </w:rPr>
        <w:t>Based</w:t>
      </w:r>
    </w:p>
    <w:p w:rsidR="00E24CAD" w:rsidRDefault="00E24CAD">
      <w:pPr>
        <w:pStyle w:val="BodyText"/>
        <w:spacing w:before="5"/>
        <w:rPr>
          <w:sz w:val="19"/>
        </w:rPr>
      </w:pPr>
    </w:p>
    <w:p w:rsidR="00E24CAD" w:rsidRDefault="0097373B">
      <w:pPr>
        <w:pStyle w:val="BodyText"/>
        <w:tabs>
          <w:tab w:val="left" w:pos="2198"/>
        </w:tabs>
        <w:spacing w:line="232" w:lineRule="auto"/>
        <w:ind w:left="399" w:right="219"/>
      </w:pPr>
      <w:r>
        <w:t>Provide in accordance with ASTM C1311, from a single co</w:t>
      </w:r>
      <w:r w:rsidR="00A11267">
        <w:t xml:space="preserve">mponent, with solvent release. Color </w:t>
      </w:r>
      <w:r>
        <w:t>as selected from manufacturer's full range of</w:t>
      </w:r>
      <w:r>
        <w:rPr>
          <w:spacing w:val="-16"/>
        </w:rPr>
        <w:t xml:space="preserve"> </w:t>
      </w:r>
      <w:r w:rsidR="00A11267">
        <w:t>color choices</w:t>
      </w:r>
      <w:r>
        <w:t>.</w:t>
      </w:r>
    </w:p>
    <w:p w:rsidR="00A11267" w:rsidRDefault="00A11267">
      <w:pPr>
        <w:pStyle w:val="BodyText"/>
        <w:tabs>
          <w:tab w:val="left" w:pos="2198"/>
        </w:tabs>
        <w:spacing w:line="232" w:lineRule="auto"/>
        <w:ind w:left="399" w:right="219"/>
      </w:pPr>
    </w:p>
    <w:p w:rsidR="00E24CAD" w:rsidRDefault="0097373B">
      <w:pPr>
        <w:pStyle w:val="ListParagraph"/>
        <w:numPr>
          <w:ilvl w:val="2"/>
          <w:numId w:val="5"/>
        </w:numPr>
        <w:tabs>
          <w:tab w:val="left" w:pos="1140"/>
          <w:tab w:val="left" w:pos="1141"/>
        </w:tabs>
        <w:spacing w:before="70"/>
        <w:ind w:hanging="960"/>
        <w:rPr>
          <w:sz w:val="20"/>
        </w:rPr>
      </w:pPr>
      <w:r>
        <w:rPr>
          <w:sz w:val="20"/>
        </w:rPr>
        <w:t>Silicone Rubber</w:t>
      </w:r>
      <w:r>
        <w:rPr>
          <w:spacing w:val="-1"/>
          <w:sz w:val="20"/>
        </w:rPr>
        <w:t xml:space="preserve"> </w:t>
      </w:r>
      <w:r>
        <w:rPr>
          <w:sz w:val="20"/>
        </w:rPr>
        <w:t>Base</w:t>
      </w:r>
    </w:p>
    <w:p w:rsidR="00E24CAD" w:rsidRDefault="00E24CAD">
      <w:pPr>
        <w:pStyle w:val="BodyText"/>
        <w:spacing w:before="2"/>
        <w:rPr>
          <w:sz w:val="19"/>
        </w:rPr>
      </w:pPr>
    </w:p>
    <w:p w:rsidR="00E24CAD" w:rsidRDefault="0097373B">
      <w:pPr>
        <w:pStyle w:val="BodyText"/>
        <w:tabs>
          <w:tab w:val="left" w:pos="3878"/>
          <w:tab w:val="left" w:pos="5678"/>
          <w:tab w:val="left" w:pos="8078"/>
          <w:tab w:val="left" w:pos="8558"/>
        </w:tabs>
        <w:spacing w:line="232" w:lineRule="auto"/>
        <w:ind w:left="399" w:right="219"/>
      </w:pPr>
      <w:r>
        <w:t>Provide in accordance with ASTM C920, from a single component, with</w:t>
      </w:r>
      <w:r>
        <w:rPr>
          <w:spacing w:val="-16"/>
        </w:rPr>
        <w:t xml:space="preserve"> </w:t>
      </w:r>
      <w:r>
        <w:t>solvent release, Non-sag,</w:t>
      </w:r>
      <w:r>
        <w:rPr>
          <w:spacing w:val="-3"/>
        </w:rPr>
        <w:t xml:space="preserve"> </w:t>
      </w:r>
      <w:r>
        <w:t>Type</w:t>
      </w:r>
      <w:r>
        <w:rPr>
          <w:spacing w:val="-2"/>
        </w:rPr>
        <w:t xml:space="preserve"> </w:t>
      </w:r>
      <w:r w:rsidR="00A11267">
        <w:t>S or M</w:t>
      </w:r>
      <w:r>
        <w:t>,</w:t>
      </w:r>
      <w:r>
        <w:rPr>
          <w:spacing w:val="-1"/>
        </w:rPr>
        <w:t xml:space="preserve"> </w:t>
      </w:r>
      <w:r>
        <w:t>Grade</w:t>
      </w:r>
      <w:r>
        <w:rPr>
          <w:spacing w:val="-1"/>
        </w:rPr>
        <w:t xml:space="preserve"> </w:t>
      </w:r>
      <w:r w:rsidR="00A11267">
        <w:t>P</w:t>
      </w:r>
      <w:r>
        <w:t>, Class</w:t>
      </w:r>
      <w:r>
        <w:rPr>
          <w:spacing w:val="-2"/>
        </w:rPr>
        <w:t xml:space="preserve"> </w:t>
      </w:r>
      <w:r w:rsidR="00A11267">
        <w:t>25.</w:t>
      </w:r>
      <w:r w:rsidR="00A11267">
        <w:tab/>
        <w:t xml:space="preserve">Color </w:t>
      </w:r>
      <w:r>
        <w:t>as selected from manufacturer's full range of color</w:t>
      </w:r>
      <w:r>
        <w:rPr>
          <w:spacing w:val="-11"/>
        </w:rPr>
        <w:t xml:space="preserve"> </w:t>
      </w:r>
      <w:r w:rsidR="00A11267">
        <w:t>choices</w:t>
      </w:r>
      <w:r>
        <w:t>.</w:t>
      </w:r>
    </w:p>
    <w:p w:rsidR="00E24CAD" w:rsidRDefault="00E24CAD">
      <w:pPr>
        <w:pStyle w:val="BodyText"/>
        <w:spacing w:before="1"/>
        <w:rPr>
          <w:sz w:val="19"/>
        </w:rPr>
      </w:pPr>
    </w:p>
    <w:p w:rsidR="00E24CAD" w:rsidRPr="002849EF" w:rsidRDefault="0097373B" w:rsidP="002849EF">
      <w:pPr>
        <w:pStyle w:val="ListParagraph"/>
        <w:numPr>
          <w:ilvl w:val="1"/>
          <w:numId w:val="4"/>
        </w:numPr>
        <w:tabs>
          <w:tab w:val="left" w:pos="900"/>
          <w:tab w:val="left" w:pos="901"/>
        </w:tabs>
        <w:spacing w:before="1"/>
        <w:ind w:hanging="720"/>
        <w:rPr>
          <w:sz w:val="20"/>
        </w:rPr>
      </w:pPr>
      <w:r>
        <w:rPr>
          <w:sz w:val="20"/>
        </w:rPr>
        <w:t>CAULKING</w:t>
      </w:r>
    </w:p>
    <w:p w:rsidR="00E24CAD" w:rsidRDefault="00E24CAD">
      <w:pPr>
        <w:pStyle w:val="BodyText"/>
        <w:spacing w:before="1"/>
        <w:rPr>
          <w:b/>
          <w:sz w:val="19"/>
        </w:rPr>
      </w:pPr>
    </w:p>
    <w:p w:rsidR="00E24CAD" w:rsidRDefault="0097373B">
      <w:pPr>
        <w:pStyle w:val="BodyText"/>
        <w:tabs>
          <w:tab w:val="left" w:pos="1718"/>
        </w:tabs>
        <w:spacing w:line="230" w:lineRule="auto"/>
        <w:ind w:left="399" w:right="699"/>
      </w:pPr>
      <w:r>
        <w:t>For interior use and only where there is little or no anticipated</w:t>
      </w:r>
      <w:r>
        <w:rPr>
          <w:spacing w:val="-15"/>
        </w:rPr>
        <w:t xml:space="preserve"> </w:t>
      </w:r>
      <w:r>
        <w:t>joint movement.</w:t>
      </w:r>
      <w:r>
        <w:tab/>
        <w:t>Provide in accordance with ASTM D2452 and ASTM D2453,</w:t>
      </w:r>
      <w:r>
        <w:rPr>
          <w:spacing w:val="-10"/>
        </w:rPr>
        <w:t xml:space="preserve"> </w:t>
      </w:r>
      <w:r>
        <w:t>Type</w:t>
      </w:r>
    </w:p>
    <w:p w:rsidR="00E24CAD" w:rsidRDefault="002849EF">
      <w:pPr>
        <w:pStyle w:val="BodyText"/>
        <w:tabs>
          <w:tab w:val="left" w:pos="1118"/>
          <w:tab w:val="left" w:pos="2678"/>
          <w:tab w:val="left" w:pos="6639"/>
        </w:tabs>
        <w:spacing w:before="3" w:line="232" w:lineRule="auto"/>
        <w:ind w:left="399" w:right="459"/>
      </w:pPr>
      <w:r>
        <w:t>S</w:t>
      </w:r>
      <w:r w:rsidR="0097373B">
        <w:t>,</w:t>
      </w:r>
      <w:r w:rsidR="0097373B">
        <w:rPr>
          <w:spacing w:val="-1"/>
        </w:rPr>
        <w:t xml:space="preserve"> </w:t>
      </w:r>
      <w:r w:rsidR="0097373B">
        <w:t>for</w:t>
      </w:r>
      <w:r w:rsidR="0097373B">
        <w:rPr>
          <w:spacing w:val="-1"/>
        </w:rPr>
        <w:t xml:space="preserve"> </w:t>
      </w:r>
      <w:r w:rsidR="0097373B">
        <w:t>oil and</w:t>
      </w:r>
      <w:r w:rsidR="0097373B">
        <w:rPr>
          <w:spacing w:val="-4"/>
        </w:rPr>
        <w:t xml:space="preserve"> </w:t>
      </w:r>
      <w:r w:rsidR="0097373B">
        <w:t>resin-based</w:t>
      </w:r>
      <w:r w:rsidR="0097373B">
        <w:rPr>
          <w:spacing w:val="-2"/>
        </w:rPr>
        <w:t xml:space="preserve"> </w:t>
      </w:r>
      <w:r>
        <w:t xml:space="preserve">caulking. </w:t>
      </w:r>
      <w:r w:rsidR="0097373B">
        <w:t>Provide</w:t>
      </w:r>
      <w:r w:rsidR="0097373B">
        <w:rPr>
          <w:spacing w:val="-5"/>
        </w:rPr>
        <w:t xml:space="preserve"> </w:t>
      </w:r>
      <w:r w:rsidR="0097373B">
        <w:t>certification of indoor air quality for interior</w:t>
      </w:r>
      <w:r w:rsidR="0097373B">
        <w:rPr>
          <w:spacing w:val="-2"/>
        </w:rPr>
        <w:t xml:space="preserve"> </w:t>
      </w:r>
      <w:r w:rsidR="0097373B">
        <w:t>caulking.</w:t>
      </w:r>
    </w:p>
    <w:p w:rsidR="00E24CAD" w:rsidRDefault="00E24CAD">
      <w:pPr>
        <w:pStyle w:val="BodyText"/>
        <w:rPr>
          <w:sz w:val="19"/>
        </w:rPr>
      </w:pPr>
    </w:p>
    <w:p w:rsidR="00E24CAD" w:rsidRDefault="0097373B">
      <w:pPr>
        <w:pStyle w:val="ListParagraph"/>
        <w:numPr>
          <w:ilvl w:val="1"/>
          <w:numId w:val="4"/>
        </w:numPr>
        <w:tabs>
          <w:tab w:val="left" w:pos="900"/>
          <w:tab w:val="left" w:pos="901"/>
        </w:tabs>
        <w:ind w:hanging="720"/>
        <w:rPr>
          <w:sz w:val="20"/>
        </w:rPr>
      </w:pPr>
      <w:r>
        <w:rPr>
          <w:sz w:val="20"/>
        </w:rPr>
        <w:t>CLEANING</w:t>
      </w:r>
      <w:r>
        <w:rPr>
          <w:spacing w:val="-1"/>
          <w:sz w:val="20"/>
        </w:rPr>
        <w:t xml:space="preserve"> </w:t>
      </w:r>
      <w:r>
        <w:rPr>
          <w:sz w:val="20"/>
        </w:rPr>
        <w:t>SOLVENTS</w:t>
      </w:r>
    </w:p>
    <w:p w:rsidR="00E24CAD" w:rsidRDefault="00E24CAD">
      <w:pPr>
        <w:pStyle w:val="BodyText"/>
        <w:spacing w:before="2"/>
        <w:rPr>
          <w:sz w:val="19"/>
        </w:rPr>
      </w:pPr>
    </w:p>
    <w:p w:rsidR="00E24CAD" w:rsidRDefault="002849EF">
      <w:pPr>
        <w:pStyle w:val="BodyText"/>
        <w:tabs>
          <w:tab w:val="left" w:pos="4359"/>
          <w:tab w:val="left" w:pos="5318"/>
        </w:tabs>
        <w:spacing w:line="232" w:lineRule="auto"/>
        <w:ind w:left="399" w:right="219"/>
      </w:pPr>
      <w:r>
        <w:t>Provide types</w:t>
      </w:r>
      <w:r w:rsidR="0097373B">
        <w:t xml:space="preserve"> recommended by the sealant manufacturer and in accordance with environmental</w:t>
      </w:r>
      <w:r w:rsidR="0097373B">
        <w:rPr>
          <w:spacing w:val="-5"/>
        </w:rPr>
        <w:t xml:space="preserve"> </w:t>
      </w:r>
      <w:r w:rsidR="0097373B">
        <w:t>requirements</w:t>
      </w:r>
      <w:r w:rsidR="0097373B">
        <w:rPr>
          <w:spacing w:val="-3"/>
        </w:rPr>
        <w:t xml:space="preserve"> </w:t>
      </w:r>
      <w:r>
        <w:t>herein.</w:t>
      </w:r>
      <w:r>
        <w:tab/>
      </w:r>
      <w:r w:rsidR="0097373B">
        <w:t>Protect adjacent aluminum and bronze surfaces</w:t>
      </w:r>
      <w:r w:rsidR="0097373B">
        <w:rPr>
          <w:spacing w:val="-4"/>
        </w:rPr>
        <w:t xml:space="preserve"> </w:t>
      </w:r>
      <w:r w:rsidR="0097373B">
        <w:t>from</w:t>
      </w:r>
      <w:r w:rsidR="0097373B">
        <w:rPr>
          <w:spacing w:val="-2"/>
        </w:rPr>
        <w:t xml:space="preserve"> </w:t>
      </w:r>
      <w:r>
        <w:t>solvents</w:t>
      </w:r>
      <w:r w:rsidR="0097373B">
        <w:t>.</w:t>
      </w:r>
      <w:r w:rsidR="0097373B">
        <w:tab/>
        <w:t>Provide solvents for interior</w:t>
      </w:r>
      <w:r w:rsidR="0097373B">
        <w:rPr>
          <w:spacing w:val="-9"/>
        </w:rPr>
        <w:t xml:space="preserve"> </w:t>
      </w:r>
      <w:r w:rsidR="0097373B">
        <w:t>applications that meet the indoor air quality requirements of the paragraph SEALANTS above.</w:t>
      </w:r>
    </w:p>
    <w:p w:rsidR="00E24CAD" w:rsidRDefault="00E24CAD">
      <w:pPr>
        <w:pStyle w:val="BodyText"/>
        <w:spacing w:before="1"/>
        <w:rPr>
          <w:sz w:val="19"/>
        </w:rPr>
      </w:pPr>
    </w:p>
    <w:p w:rsidR="00E24CAD" w:rsidRDefault="0097373B">
      <w:pPr>
        <w:pStyle w:val="BodyText"/>
        <w:tabs>
          <w:tab w:val="left" w:pos="1260"/>
        </w:tabs>
        <w:ind w:left="180"/>
      </w:pPr>
      <w:r>
        <w:t>PART</w:t>
      </w:r>
      <w:r>
        <w:rPr>
          <w:spacing w:val="-1"/>
        </w:rPr>
        <w:t xml:space="preserve"> </w:t>
      </w:r>
      <w:r>
        <w:t>3</w:t>
      </w:r>
      <w:r>
        <w:tab/>
        <w:t>EXECUTION</w:t>
      </w:r>
    </w:p>
    <w:p w:rsidR="00E24CAD" w:rsidRDefault="00E24CAD">
      <w:pPr>
        <w:pStyle w:val="BodyText"/>
        <w:rPr>
          <w:sz w:val="19"/>
        </w:rPr>
      </w:pPr>
    </w:p>
    <w:p w:rsidR="00E24CAD" w:rsidRDefault="0097373B">
      <w:pPr>
        <w:pStyle w:val="ListParagraph"/>
        <w:numPr>
          <w:ilvl w:val="1"/>
          <w:numId w:val="3"/>
        </w:numPr>
        <w:tabs>
          <w:tab w:val="left" w:pos="900"/>
          <w:tab w:val="left" w:pos="901"/>
        </w:tabs>
        <w:ind w:hanging="720"/>
        <w:rPr>
          <w:sz w:val="20"/>
        </w:rPr>
      </w:pPr>
      <w:r>
        <w:rPr>
          <w:sz w:val="20"/>
        </w:rPr>
        <w:t>FIELD QUALITY</w:t>
      </w:r>
      <w:r>
        <w:rPr>
          <w:spacing w:val="-1"/>
          <w:sz w:val="20"/>
        </w:rPr>
        <w:t xml:space="preserve"> </w:t>
      </w:r>
      <w:r>
        <w:rPr>
          <w:sz w:val="20"/>
        </w:rPr>
        <w:t>CONTROL</w:t>
      </w:r>
    </w:p>
    <w:p w:rsidR="00E24CAD" w:rsidRDefault="00E24CAD">
      <w:pPr>
        <w:pStyle w:val="BodyText"/>
        <w:spacing w:before="2"/>
        <w:rPr>
          <w:sz w:val="19"/>
        </w:rPr>
      </w:pPr>
    </w:p>
    <w:p w:rsidR="00E24CAD" w:rsidRDefault="0097373B">
      <w:pPr>
        <w:pStyle w:val="BodyText"/>
        <w:tabs>
          <w:tab w:val="left" w:pos="1838"/>
        </w:tabs>
        <w:spacing w:before="1" w:line="232" w:lineRule="auto"/>
        <w:ind w:left="399" w:right="459"/>
      </w:pPr>
      <w:r>
        <w:t>Perform a field adhesion test in accordance with manufacturer's instructions and ASTM C1193, Method A or ASTM C1521, Method A, Tail Procedure.</w:t>
      </w:r>
      <w:r>
        <w:tab/>
        <w:t>Remove sealants that fail adhesion testing; clean</w:t>
      </w:r>
      <w:r>
        <w:rPr>
          <w:spacing w:val="-13"/>
        </w:rPr>
        <w:t xml:space="preserve"> </w:t>
      </w:r>
      <w:r>
        <w:t>substrates, reapply sealants, and re-test. Test sealants adjacent to failed</w:t>
      </w:r>
      <w:r>
        <w:rPr>
          <w:spacing w:val="-16"/>
        </w:rPr>
        <w:t xml:space="preserve"> </w:t>
      </w:r>
      <w:r>
        <w:t>sealants. Submit field adhesion test report indicating tests, locations, dates, results, and remedial actions</w:t>
      </w:r>
      <w:r>
        <w:rPr>
          <w:spacing w:val="-1"/>
        </w:rPr>
        <w:t xml:space="preserve"> </w:t>
      </w:r>
      <w:r>
        <w:t>taken.</w:t>
      </w:r>
    </w:p>
    <w:p w:rsidR="00E24CAD" w:rsidRDefault="00E24CAD">
      <w:pPr>
        <w:pStyle w:val="BodyText"/>
        <w:spacing w:before="1"/>
        <w:rPr>
          <w:sz w:val="19"/>
        </w:rPr>
      </w:pPr>
    </w:p>
    <w:p w:rsidR="00E24CAD" w:rsidRDefault="0097373B">
      <w:pPr>
        <w:pStyle w:val="ListParagraph"/>
        <w:numPr>
          <w:ilvl w:val="1"/>
          <w:numId w:val="3"/>
        </w:numPr>
        <w:tabs>
          <w:tab w:val="left" w:pos="900"/>
          <w:tab w:val="left" w:pos="901"/>
        </w:tabs>
        <w:ind w:hanging="720"/>
        <w:rPr>
          <w:sz w:val="20"/>
        </w:rPr>
      </w:pPr>
      <w:r>
        <w:rPr>
          <w:sz w:val="20"/>
        </w:rPr>
        <w:t>SURFACE</w:t>
      </w:r>
      <w:r>
        <w:rPr>
          <w:spacing w:val="-1"/>
          <w:sz w:val="20"/>
        </w:rPr>
        <w:t xml:space="preserve"> </w:t>
      </w:r>
      <w:r>
        <w:rPr>
          <w:sz w:val="20"/>
        </w:rPr>
        <w:t>PREPARATION</w:t>
      </w:r>
    </w:p>
    <w:p w:rsidR="00E24CAD" w:rsidRDefault="00E24CAD">
      <w:pPr>
        <w:pStyle w:val="BodyText"/>
        <w:spacing w:before="3"/>
        <w:rPr>
          <w:sz w:val="19"/>
        </w:rPr>
      </w:pPr>
    </w:p>
    <w:p w:rsidR="00E24CAD" w:rsidRDefault="0097373B">
      <w:pPr>
        <w:pStyle w:val="BodyText"/>
        <w:tabs>
          <w:tab w:val="left" w:pos="1718"/>
          <w:tab w:val="left" w:pos="2198"/>
          <w:tab w:val="left" w:pos="3158"/>
          <w:tab w:val="left" w:pos="4238"/>
          <w:tab w:val="left" w:pos="8798"/>
        </w:tabs>
        <w:spacing w:line="232" w:lineRule="auto"/>
        <w:ind w:left="399" w:right="219"/>
      </w:pPr>
      <w:r>
        <w:t>Prepare surfaces according to manufacturer's printed installation instructions.</w:t>
      </w:r>
      <w:r>
        <w:tab/>
        <w:t>Clean surfaces from dirt, frost, moisture, grease, oil,</w:t>
      </w:r>
      <w:r>
        <w:rPr>
          <w:spacing w:val="-13"/>
        </w:rPr>
        <w:t xml:space="preserve"> </w:t>
      </w:r>
      <w:r>
        <w:t>wax, lacquer, paint, or other foreign matter that would destroy or impair adhesion.</w:t>
      </w:r>
      <w:r>
        <w:tab/>
        <w:t>Remove oil and grease with solvent; thoroughly remove solvents prior to</w:t>
      </w:r>
      <w:r>
        <w:rPr>
          <w:spacing w:val="-4"/>
        </w:rPr>
        <w:t xml:space="preserve"> </w:t>
      </w:r>
      <w:r>
        <w:t>sealant</w:t>
      </w:r>
      <w:r>
        <w:rPr>
          <w:spacing w:val="-2"/>
        </w:rPr>
        <w:t xml:space="preserve"> </w:t>
      </w:r>
      <w:r>
        <w:t>installation.</w:t>
      </w:r>
      <w:r>
        <w:tab/>
        <w:t>Wipe surfaces dry with</w:t>
      </w:r>
      <w:r>
        <w:rPr>
          <w:spacing w:val="-6"/>
        </w:rPr>
        <w:t xml:space="preserve"> </w:t>
      </w:r>
      <w:r>
        <w:t>clean</w:t>
      </w:r>
      <w:r>
        <w:rPr>
          <w:spacing w:val="-2"/>
        </w:rPr>
        <w:t xml:space="preserve"> </w:t>
      </w:r>
      <w:r>
        <w:t>cloths.</w:t>
      </w:r>
      <w:r>
        <w:tab/>
        <w:t>When resealing an existing joint, remove existing caulk or sealant prior to applying</w:t>
      </w:r>
      <w:r>
        <w:rPr>
          <w:spacing w:val="-2"/>
        </w:rPr>
        <w:t xml:space="preserve"> </w:t>
      </w:r>
      <w:r>
        <w:t>new</w:t>
      </w:r>
      <w:r>
        <w:rPr>
          <w:spacing w:val="-2"/>
        </w:rPr>
        <w:t xml:space="preserve"> </w:t>
      </w:r>
      <w:r>
        <w:t>sealant.</w:t>
      </w:r>
      <w:r>
        <w:tab/>
        <w:t>For surface types not listed below, provide in accordance with sealant manufacturer's printed instructions for each specific</w:t>
      </w:r>
      <w:r>
        <w:rPr>
          <w:spacing w:val="-1"/>
        </w:rPr>
        <w:t xml:space="preserve"> </w:t>
      </w:r>
      <w:r>
        <w:t>surface.</w:t>
      </w:r>
    </w:p>
    <w:p w:rsidR="00E24CAD" w:rsidRDefault="00E24CAD">
      <w:pPr>
        <w:pStyle w:val="BodyText"/>
        <w:spacing w:before="2"/>
        <w:rPr>
          <w:sz w:val="19"/>
        </w:rPr>
      </w:pPr>
    </w:p>
    <w:p w:rsidR="00E24CAD" w:rsidRDefault="0097373B">
      <w:pPr>
        <w:pStyle w:val="ListParagraph"/>
        <w:numPr>
          <w:ilvl w:val="2"/>
          <w:numId w:val="3"/>
        </w:numPr>
        <w:tabs>
          <w:tab w:val="left" w:pos="1140"/>
          <w:tab w:val="left" w:pos="1141"/>
        </w:tabs>
        <w:spacing w:before="1"/>
        <w:ind w:hanging="960"/>
        <w:rPr>
          <w:sz w:val="20"/>
        </w:rPr>
      </w:pPr>
      <w:r>
        <w:rPr>
          <w:sz w:val="20"/>
        </w:rPr>
        <w:t>Steel</w:t>
      </w:r>
      <w:r>
        <w:rPr>
          <w:spacing w:val="-1"/>
          <w:sz w:val="20"/>
        </w:rPr>
        <w:t xml:space="preserve"> </w:t>
      </w:r>
      <w:r>
        <w:rPr>
          <w:sz w:val="20"/>
        </w:rPr>
        <w:t>Surfaces</w:t>
      </w:r>
    </w:p>
    <w:p w:rsidR="00E24CAD" w:rsidRDefault="00E24CAD">
      <w:pPr>
        <w:pStyle w:val="BodyText"/>
        <w:spacing w:before="2"/>
        <w:rPr>
          <w:sz w:val="19"/>
        </w:rPr>
      </w:pPr>
    </w:p>
    <w:p w:rsidR="00E24CAD" w:rsidRDefault="0097373B">
      <w:pPr>
        <w:pStyle w:val="BodyText"/>
        <w:tabs>
          <w:tab w:val="left" w:pos="7598"/>
        </w:tabs>
        <w:spacing w:line="232" w:lineRule="auto"/>
        <w:ind w:left="399" w:right="339"/>
      </w:pPr>
      <w:r>
        <w:t>Remove loose mill scale by sandblasting or, if sandblasting is</w:t>
      </w:r>
      <w:r>
        <w:rPr>
          <w:spacing w:val="-16"/>
        </w:rPr>
        <w:t xml:space="preserve"> </w:t>
      </w:r>
      <w:r>
        <w:t>impractical or would damage finished work, scraping and</w:t>
      </w:r>
      <w:r>
        <w:rPr>
          <w:spacing w:val="-10"/>
        </w:rPr>
        <w:t xml:space="preserve"> </w:t>
      </w:r>
      <w:r>
        <w:t>wire</w:t>
      </w:r>
      <w:r>
        <w:rPr>
          <w:spacing w:val="-2"/>
        </w:rPr>
        <w:t xml:space="preserve"> </w:t>
      </w:r>
      <w:r>
        <w:t>brushing.</w:t>
      </w:r>
      <w:r>
        <w:tab/>
        <w:t>Remove protective coatings by sandblasting or using a residue free</w:t>
      </w:r>
      <w:r>
        <w:rPr>
          <w:spacing w:val="-9"/>
        </w:rPr>
        <w:t xml:space="preserve"> </w:t>
      </w:r>
      <w:r>
        <w:t>solvent.</w:t>
      </w:r>
    </w:p>
    <w:p w:rsidR="00E24CAD" w:rsidRDefault="0097373B">
      <w:pPr>
        <w:pStyle w:val="BodyText"/>
        <w:spacing w:line="222" w:lineRule="exact"/>
        <w:ind w:left="399"/>
      </w:pPr>
      <w:r>
        <w:t>Remove resulting debris and solvent residue prior to sealant installation.</w:t>
      </w:r>
    </w:p>
    <w:p w:rsidR="002849EF" w:rsidRDefault="002849EF">
      <w:pPr>
        <w:pStyle w:val="BodyText"/>
        <w:spacing w:line="222" w:lineRule="exact"/>
        <w:ind w:left="399"/>
      </w:pPr>
    </w:p>
    <w:p w:rsidR="00E24CAD" w:rsidRDefault="0097373B">
      <w:pPr>
        <w:pStyle w:val="ListParagraph"/>
        <w:numPr>
          <w:ilvl w:val="2"/>
          <w:numId w:val="3"/>
        </w:numPr>
        <w:tabs>
          <w:tab w:val="left" w:pos="1140"/>
          <w:tab w:val="left" w:pos="1141"/>
        </w:tabs>
        <w:spacing w:before="70"/>
        <w:ind w:hanging="960"/>
        <w:rPr>
          <w:sz w:val="20"/>
        </w:rPr>
      </w:pPr>
      <w:r>
        <w:rPr>
          <w:sz w:val="20"/>
        </w:rPr>
        <w:t>Aluminum or Bronze</w:t>
      </w:r>
      <w:r>
        <w:rPr>
          <w:spacing w:val="-1"/>
          <w:sz w:val="20"/>
        </w:rPr>
        <w:t xml:space="preserve"> </w:t>
      </w:r>
      <w:r>
        <w:rPr>
          <w:sz w:val="20"/>
        </w:rPr>
        <w:t>Surfaces</w:t>
      </w:r>
    </w:p>
    <w:p w:rsidR="00E24CAD" w:rsidRDefault="00E24CAD">
      <w:pPr>
        <w:pStyle w:val="BodyText"/>
        <w:spacing w:before="2"/>
        <w:rPr>
          <w:sz w:val="19"/>
        </w:rPr>
      </w:pPr>
    </w:p>
    <w:p w:rsidR="00E24CAD" w:rsidRDefault="0097373B">
      <w:pPr>
        <w:pStyle w:val="BodyText"/>
        <w:tabs>
          <w:tab w:val="left" w:pos="2198"/>
          <w:tab w:val="left" w:pos="7838"/>
        </w:tabs>
        <w:spacing w:line="232" w:lineRule="auto"/>
        <w:ind w:left="399" w:right="339"/>
      </w:pPr>
      <w:r>
        <w:t>Remove temporary protective coatings from surfaces that will be in</w:t>
      </w:r>
      <w:r>
        <w:rPr>
          <w:spacing w:val="-16"/>
        </w:rPr>
        <w:t xml:space="preserve"> </w:t>
      </w:r>
      <w:r>
        <w:t>contact with</w:t>
      </w:r>
      <w:r>
        <w:rPr>
          <w:spacing w:val="-2"/>
        </w:rPr>
        <w:t xml:space="preserve"> </w:t>
      </w:r>
      <w:r>
        <w:t>sealant.</w:t>
      </w:r>
      <w:r>
        <w:tab/>
        <w:t>When masking tape is used as a protective coating, remove tape and any residual adhesive prior to</w:t>
      </w:r>
      <w:r>
        <w:rPr>
          <w:spacing w:val="-10"/>
        </w:rPr>
        <w:t xml:space="preserve"> </w:t>
      </w:r>
      <w:r>
        <w:t>sealant</w:t>
      </w:r>
      <w:r>
        <w:rPr>
          <w:spacing w:val="-2"/>
        </w:rPr>
        <w:t xml:space="preserve"> </w:t>
      </w:r>
      <w:r>
        <w:t>application.</w:t>
      </w:r>
      <w:r>
        <w:tab/>
        <w:t>For removing protective coatings and final cleaning, use non-staining solvents recommended by the manufacturer of the item(s) containing aluminum or bronze</w:t>
      </w:r>
      <w:r>
        <w:rPr>
          <w:spacing w:val="-1"/>
        </w:rPr>
        <w:t xml:space="preserve"> </w:t>
      </w:r>
      <w:r>
        <w:t>surfaces.</w:t>
      </w:r>
    </w:p>
    <w:p w:rsidR="00E24CAD" w:rsidRDefault="00E24CAD">
      <w:pPr>
        <w:pStyle w:val="BodyText"/>
        <w:spacing w:before="2"/>
        <w:rPr>
          <w:sz w:val="19"/>
        </w:rPr>
      </w:pPr>
    </w:p>
    <w:p w:rsidR="00E24CAD" w:rsidRDefault="0097373B">
      <w:pPr>
        <w:pStyle w:val="ListParagraph"/>
        <w:numPr>
          <w:ilvl w:val="2"/>
          <w:numId w:val="3"/>
        </w:numPr>
        <w:tabs>
          <w:tab w:val="left" w:pos="1140"/>
          <w:tab w:val="left" w:pos="1141"/>
        </w:tabs>
        <w:ind w:hanging="960"/>
        <w:rPr>
          <w:sz w:val="20"/>
        </w:rPr>
      </w:pPr>
      <w:r>
        <w:rPr>
          <w:sz w:val="20"/>
        </w:rPr>
        <w:t>Concrete and Masonry</w:t>
      </w:r>
      <w:r>
        <w:rPr>
          <w:spacing w:val="-1"/>
          <w:sz w:val="20"/>
        </w:rPr>
        <w:t xml:space="preserve"> </w:t>
      </w:r>
      <w:r>
        <w:rPr>
          <w:sz w:val="20"/>
        </w:rPr>
        <w:t>Surfaces</w:t>
      </w:r>
    </w:p>
    <w:p w:rsidR="00E24CAD" w:rsidRDefault="00E24CAD">
      <w:pPr>
        <w:pStyle w:val="BodyText"/>
        <w:spacing w:before="3"/>
        <w:rPr>
          <w:sz w:val="19"/>
        </w:rPr>
      </w:pPr>
    </w:p>
    <w:p w:rsidR="00E24CAD" w:rsidRDefault="0097373B">
      <w:pPr>
        <w:pStyle w:val="BodyText"/>
        <w:tabs>
          <w:tab w:val="left" w:pos="7958"/>
          <w:tab w:val="left" w:pos="8198"/>
        </w:tabs>
        <w:spacing w:line="232" w:lineRule="auto"/>
        <w:ind w:left="399" w:right="339"/>
      </w:pPr>
      <w:r>
        <w:t>Where surfaces have been treated with curing compounds, oil, or other</w:t>
      </w:r>
      <w:r>
        <w:rPr>
          <w:spacing w:val="-15"/>
        </w:rPr>
        <w:t xml:space="preserve"> </w:t>
      </w:r>
      <w:r>
        <w:t>such materials, remove materials by sandblasting or</w:t>
      </w:r>
      <w:r>
        <w:rPr>
          <w:spacing w:val="-10"/>
        </w:rPr>
        <w:t xml:space="preserve"> </w:t>
      </w:r>
      <w:r>
        <w:t>wire</w:t>
      </w:r>
      <w:r>
        <w:rPr>
          <w:spacing w:val="-2"/>
        </w:rPr>
        <w:t xml:space="preserve"> </w:t>
      </w:r>
      <w:r>
        <w:t>brushing.</w:t>
      </w:r>
      <w:r>
        <w:tab/>
        <w:t>Remove laitance, efflorescence and loose mortar from the</w:t>
      </w:r>
      <w:r>
        <w:rPr>
          <w:spacing w:val="-12"/>
        </w:rPr>
        <w:t xml:space="preserve"> </w:t>
      </w:r>
      <w:r>
        <w:t>joint</w:t>
      </w:r>
      <w:r>
        <w:rPr>
          <w:spacing w:val="-2"/>
        </w:rPr>
        <w:t xml:space="preserve"> </w:t>
      </w:r>
      <w:r>
        <w:t>cavity.</w:t>
      </w:r>
      <w:r>
        <w:tab/>
        <w:t>Remove resulting debris prior to sealant</w:t>
      </w:r>
      <w:r>
        <w:rPr>
          <w:spacing w:val="-2"/>
        </w:rPr>
        <w:t xml:space="preserve"> </w:t>
      </w:r>
      <w:r>
        <w:t>installation.</w:t>
      </w:r>
    </w:p>
    <w:p w:rsidR="00E24CAD" w:rsidRDefault="00E24CAD">
      <w:pPr>
        <w:pStyle w:val="BodyText"/>
        <w:spacing w:before="11"/>
        <w:rPr>
          <w:sz w:val="18"/>
        </w:rPr>
      </w:pPr>
    </w:p>
    <w:p w:rsidR="00E24CAD" w:rsidRDefault="0097373B">
      <w:pPr>
        <w:pStyle w:val="ListParagraph"/>
        <w:numPr>
          <w:ilvl w:val="2"/>
          <w:numId w:val="3"/>
        </w:numPr>
        <w:tabs>
          <w:tab w:val="left" w:pos="1140"/>
          <w:tab w:val="left" w:pos="1141"/>
        </w:tabs>
        <w:ind w:hanging="960"/>
        <w:rPr>
          <w:sz w:val="20"/>
        </w:rPr>
      </w:pPr>
      <w:r>
        <w:rPr>
          <w:sz w:val="20"/>
        </w:rPr>
        <w:t>Wood</w:t>
      </w:r>
      <w:r>
        <w:rPr>
          <w:spacing w:val="-1"/>
          <w:sz w:val="20"/>
        </w:rPr>
        <w:t xml:space="preserve"> </w:t>
      </w:r>
      <w:r>
        <w:rPr>
          <w:sz w:val="20"/>
        </w:rPr>
        <w:t>Surfaces</w:t>
      </w:r>
    </w:p>
    <w:p w:rsidR="00E24CAD" w:rsidRDefault="00E24CAD">
      <w:pPr>
        <w:pStyle w:val="BodyText"/>
        <w:spacing w:before="6"/>
        <w:rPr>
          <w:sz w:val="19"/>
        </w:rPr>
      </w:pPr>
    </w:p>
    <w:p w:rsidR="00E24CAD" w:rsidRDefault="0097373B">
      <w:pPr>
        <w:pStyle w:val="BodyText"/>
        <w:spacing w:line="230" w:lineRule="auto"/>
        <w:ind w:left="399" w:right="799"/>
      </w:pPr>
      <w:r>
        <w:t>Ensure wood surfaces that will be in contact with sealants are free of splinters, sawdust and other loose particles.</w:t>
      </w:r>
    </w:p>
    <w:p w:rsidR="00E24CAD" w:rsidRDefault="00E24CAD">
      <w:pPr>
        <w:pStyle w:val="BodyText"/>
        <w:spacing w:before="3"/>
        <w:rPr>
          <w:sz w:val="19"/>
        </w:rPr>
      </w:pPr>
    </w:p>
    <w:p w:rsidR="00E24CAD" w:rsidRDefault="0097373B">
      <w:pPr>
        <w:pStyle w:val="BodyText"/>
        <w:tabs>
          <w:tab w:val="left" w:pos="1260"/>
        </w:tabs>
        <w:spacing w:before="1"/>
        <w:ind w:left="180"/>
      </w:pPr>
      <w:r>
        <w:t>3.2.5</w:t>
      </w:r>
      <w:r>
        <w:tab/>
        <w:t>Removing Existing Hazardous</w:t>
      </w:r>
      <w:r>
        <w:rPr>
          <w:spacing w:val="-1"/>
        </w:rPr>
        <w:t xml:space="preserve"> </w:t>
      </w:r>
      <w:r>
        <w:t>Sealants</w:t>
      </w:r>
    </w:p>
    <w:p w:rsidR="00E24CAD" w:rsidRDefault="00E24CAD">
      <w:pPr>
        <w:pStyle w:val="BodyText"/>
        <w:spacing w:before="2"/>
        <w:rPr>
          <w:sz w:val="19"/>
        </w:rPr>
      </w:pPr>
    </w:p>
    <w:p w:rsidR="00E24CAD" w:rsidRDefault="0097373B">
      <w:pPr>
        <w:pStyle w:val="BodyText"/>
        <w:spacing w:line="232" w:lineRule="auto"/>
        <w:ind w:left="399" w:right="439"/>
      </w:pPr>
      <w:r>
        <w:t>For sealants applied prior to 1979, or that have been tested and found to contain polychlorinated biphenyls (PCBs), remove and dispose of these sealants in accordance with Section 02 84 33 REMOVAL AND DISPOSAL OF POLYCHLORINATED BIPHENYLS (PCBs).</w:t>
      </w:r>
    </w:p>
    <w:p w:rsidR="00E24CAD" w:rsidRDefault="00E24CAD">
      <w:pPr>
        <w:pStyle w:val="BodyText"/>
        <w:rPr>
          <w:sz w:val="19"/>
        </w:rPr>
      </w:pPr>
    </w:p>
    <w:p w:rsidR="00E24CAD" w:rsidRDefault="0097373B">
      <w:pPr>
        <w:pStyle w:val="BodyText"/>
        <w:tabs>
          <w:tab w:val="left" w:pos="1020"/>
        </w:tabs>
        <w:ind w:left="180"/>
      </w:pPr>
      <w:r>
        <w:t>3.3</w:t>
      </w:r>
      <w:r>
        <w:tab/>
        <w:t>SEALANT</w:t>
      </w:r>
      <w:r>
        <w:rPr>
          <w:spacing w:val="-1"/>
        </w:rPr>
        <w:t xml:space="preserve"> </w:t>
      </w:r>
      <w:r>
        <w:t>PREPARATION</w:t>
      </w:r>
    </w:p>
    <w:p w:rsidR="00E24CAD" w:rsidRDefault="00E24CAD">
      <w:pPr>
        <w:pStyle w:val="BodyText"/>
        <w:spacing w:before="6"/>
        <w:rPr>
          <w:sz w:val="19"/>
        </w:rPr>
      </w:pPr>
    </w:p>
    <w:p w:rsidR="00E24CAD" w:rsidRDefault="0097373B">
      <w:pPr>
        <w:pStyle w:val="BodyText"/>
        <w:tabs>
          <w:tab w:val="left" w:pos="6998"/>
        </w:tabs>
        <w:spacing w:line="230" w:lineRule="auto"/>
        <w:ind w:left="399" w:right="99"/>
      </w:pPr>
      <w:r>
        <w:t>Do not add liquids, solvents, or powders</w:t>
      </w:r>
      <w:r>
        <w:rPr>
          <w:spacing w:val="-9"/>
        </w:rPr>
        <w:t xml:space="preserve"> </w:t>
      </w:r>
      <w:r>
        <w:t>to</w:t>
      </w:r>
      <w:r>
        <w:rPr>
          <w:spacing w:val="-2"/>
        </w:rPr>
        <w:t xml:space="preserve"> </w:t>
      </w:r>
      <w:r>
        <w:t>sealants.</w:t>
      </w:r>
      <w:r>
        <w:tab/>
        <w:t>Mix multicomponent elastomeric sealants in accordance with manufacturer's printed</w:t>
      </w:r>
      <w:r>
        <w:rPr>
          <w:spacing w:val="-17"/>
        </w:rPr>
        <w:t xml:space="preserve"> </w:t>
      </w:r>
      <w:r>
        <w:t>instructions.</w:t>
      </w:r>
    </w:p>
    <w:p w:rsidR="00E24CAD" w:rsidRDefault="00E24CAD">
      <w:pPr>
        <w:pStyle w:val="BodyText"/>
        <w:spacing w:before="3"/>
        <w:rPr>
          <w:sz w:val="19"/>
        </w:rPr>
      </w:pPr>
    </w:p>
    <w:p w:rsidR="00E24CAD" w:rsidRDefault="0097373B">
      <w:pPr>
        <w:pStyle w:val="ListParagraph"/>
        <w:numPr>
          <w:ilvl w:val="1"/>
          <w:numId w:val="2"/>
        </w:numPr>
        <w:tabs>
          <w:tab w:val="left" w:pos="900"/>
          <w:tab w:val="left" w:pos="901"/>
        </w:tabs>
        <w:ind w:hanging="720"/>
        <w:rPr>
          <w:sz w:val="20"/>
        </w:rPr>
      </w:pPr>
      <w:r>
        <w:rPr>
          <w:sz w:val="20"/>
        </w:rPr>
        <w:t>APPLICATION</w:t>
      </w:r>
    </w:p>
    <w:p w:rsidR="00E24CAD" w:rsidRDefault="00E24CAD">
      <w:pPr>
        <w:pStyle w:val="BodyText"/>
        <w:spacing w:before="9"/>
        <w:rPr>
          <w:sz w:val="18"/>
        </w:rPr>
      </w:pPr>
    </w:p>
    <w:p w:rsidR="00E24CAD" w:rsidRDefault="0097373B">
      <w:pPr>
        <w:pStyle w:val="ListParagraph"/>
        <w:numPr>
          <w:ilvl w:val="2"/>
          <w:numId w:val="2"/>
        </w:numPr>
        <w:tabs>
          <w:tab w:val="left" w:pos="1140"/>
          <w:tab w:val="left" w:pos="1141"/>
        </w:tabs>
        <w:spacing w:line="465" w:lineRule="auto"/>
        <w:ind w:right="5237" w:hanging="219"/>
        <w:rPr>
          <w:sz w:val="20"/>
        </w:rPr>
      </w:pPr>
      <w:r>
        <w:rPr>
          <w:sz w:val="20"/>
        </w:rPr>
        <w:t>Joint Width-To-Depth Ratios Acceptable</w:t>
      </w:r>
      <w:r>
        <w:rPr>
          <w:spacing w:val="-1"/>
          <w:sz w:val="20"/>
        </w:rPr>
        <w:t xml:space="preserve"> </w:t>
      </w:r>
      <w:r>
        <w:rPr>
          <w:sz w:val="20"/>
        </w:rPr>
        <w:t>Ratios:</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2"/>
        <w:gridCol w:w="309"/>
        <w:gridCol w:w="309"/>
        <w:gridCol w:w="309"/>
        <w:gridCol w:w="308"/>
        <w:gridCol w:w="1353"/>
        <w:gridCol w:w="3110"/>
        <w:gridCol w:w="3080"/>
        <w:gridCol w:w="7"/>
      </w:tblGrid>
      <w:tr w:rsidR="00E24CAD" w:rsidTr="00293E35">
        <w:trPr>
          <w:trHeight w:val="460"/>
        </w:trPr>
        <w:tc>
          <w:tcPr>
            <w:tcW w:w="3110" w:type="dxa"/>
            <w:gridSpan w:val="6"/>
            <w:vMerge w:val="restart"/>
            <w:tcBorders>
              <w:top w:val="single" w:sz="4" w:space="0" w:color="auto"/>
              <w:left w:val="single" w:sz="4" w:space="0" w:color="auto"/>
              <w:bottom w:val="single" w:sz="4" w:space="0" w:color="auto"/>
              <w:right w:val="single" w:sz="4" w:space="0" w:color="auto"/>
            </w:tcBorders>
          </w:tcPr>
          <w:p w:rsidR="00E24CAD" w:rsidRDefault="0097373B">
            <w:pPr>
              <w:pStyle w:val="TableParagraph"/>
              <w:spacing w:before="10"/>
              <w:rPr>
                <w:sz w:val="17"/>
              </w:rPr>
            </w:pPr>
            <w:r>
              <w:rPr>
                <w:sz w:val="17"/>
                <w:u w:val="single"/>
              </w:rPr>
              <w:t>JOINT WIDTH</w:t>
            </w:r>
          </w:p>
        </w:tc>
        <w:tc>
          <w:tcPr>
            <w:tcW w:w="6197" w:type="dxa"/>
            <w:gridSpan w:val="3"/>
            <w:tcBorders>
              <w:top w:val="single" w:sz="4" w:space="0" w:color="auto"/>
              <w:left w:val="single" w:sz="4" w:space="0" w:color="auto"/>
              <w:bottom w:val="single" w:sz="4" w:space="0" w:color="auto"/>
              <w:right w:val="single" w:sz="4" w:space="0" w:color="auto"/>
            </w:tcBorders>
          </w:tcPr>
          <w:p w:rsidR="00E24CAD" w:rsidRDefault="0097373B">
            <w:pPr>
              <w:pStyle w:val="TableParagraph"/>
              <w:spacing w:before="10"/>
              <w:ind w:left="2521" w:right="2492"/>
              <w:jc w:val="center"/>
              <w:rPr>
                <w:sz w:val="17"/>
              </w:rPr>
            </w:pPr>
            <w:r>
              <w:rPr>
                <w:sz w:val="17"/>
                <w:u w:val="single"/>
              </w:rPr>
              <w:t>JOINT DEPTH</w:t>
            </w:r>
          </w:p>
        </w:tc>
      </w:tr>
      <w:tr w:rsidR="00E24CAD" w:rsidTr="00293E35">
        <w:trPr>
          <w:trHeight w:val="460"/>
        </w:trPr>
        <w:tc>
          <w:tcPr>
            <w:tcW w:w="3110" w:type="dxa"/>
            <w:gridSpan w:val="6"/>
            <w:vMerge/>
            <w:tcBorders>
              <w:top w:val="single" w:sz="4" w:space="0" w:color="auto"/>
              <w:left w:val="single" w:sz="4" w:space="0" w:color="auto"/>
              <w:bottom w:val="single" w:sz="4" w:space="0" w:color="auto"/>
              <w:right w:val="single" w:sz="4" w:space="0" w:color="auto"/>
            </w:tcBorders>
          </w:tcPr>
          <w:p w:rsidR="00E24CAD" w:rsidRDefault="00E24CAD">
            <w:pPr>
              <w:rPr>
                <w:sz w:val="2"/>
                <w:szCs w:val="2"/>
              </w:rPr>
            </w:pPr>
          </w:p>
        </w:tc>
        <w:tc>
          <w:tcPr>
            <w:tcW w:w="3110" w:type="dxa"/>
            <w:tcBorders>
              <w:top w:val="single" w:sz="4" w:space="0" w:color="auto"/>
              <w:left w:val="single" w:sz="4" w:space="0" w:color="auto"/>
              <w:bottom w:val="single" w:sz="4" w:space="0" w:color="auto"/>
              <w:right w:val="single" w:sz="4" w:space="0" w:color="auto"/>
            </w:tcBorders>
          </w:tcPr>
          <w:p w:rsidR="00E24CAD" w:rsidRDefault="0097373B">
            <w:pPr>
              <w:pStyle w:val="TableParagraph"/>
              <w:spacing w:before="10"/>
              <w:ind w:left="1179" w:right="1160"/>
              <w:jc w:val="center"/>
              <w:rPr>
                <w:sz w:val="17"/>
              </w:rPr>
            </w:pPr>
            <w:r>
              <w:rPr>
                <w:sz w:val="17"/>
              </w:rPr>
              <w:t>Minimum</w:t>
            </w:r>
          </w:p>
        </w:tc>
        <w:tc>
          <w:tcPr>
            <w:tcW w:w="3087" w:type="dxa"/>
            <w:gridSpan w:val="2"/>
            <w:tcBorders>
              <w:top w:val="single" w:sz="4" w:space="0" w:color="auto"/>
              <w:left w:val="single" w:sz="4" w:space="0" w:color="auto"/>
              <w:bottom w:val="single" w:sz="4" w:space="0" w:color="auto"/>
              <w:right w:val="single" w:sz="4" w:space="0" w:color="auto"/>
            </w:tcBorders>
          </w:tcPr>
          <w:p w:rsidR="00E24CAD" w:rsidRDefault="0097373B">
            <w:pPr>
              <w:pStyle w:val="TableParagraph"/>
              <w:spacing w:before="10"/>
              <w:ind w:left="1165" w:right="1145"/>
              <w:jc w:val="center"/>
              <w:rPr>
                <w:sz w:val="17"/>
              </w:rPr>
            </w:pPr>
            <w:r>
              <w:rPr>
                <w:sz w:val="17"/>
              </w:rPr>
              <w:t>Maximum</w:t>
            </w:r>
          </w:p>
        </w:tc>
      </w:tr>
      <w:tr w:rsidR="00E24CAD" w:rsidTr="00293E35">
        <w:trPr>
          <w:trHeight w:val="460"/>
        </w:trPr>
        <w:tc>
          <w:tcPr>
            <w:tcW w:w="9307" w:type="dxa"/>
            <w:gridSpan w:val="9"/>
            <w:tcBorders>
              <w:top w:val="single" w:sz="4" w:space="0" w:color="auto"/>
            </w:tcBorders>
          </w:tcPr>
          <w:p w:rsidR="00E24CAD" w:rsidRDefault="0097373B">
            <w:pPr>
              <w:pStyle w:val="TableParagraph"/>
              <w:spacing w:before="10"/>
              <w:rPr>
                <w:sz w:val="17"/>
              </w:rPr>
            </w:pPr>
            <w:r>
              <w:rPr>
                <w:sz w:val="17"/>
              </w:rPr>
              <w:t>For metal, glass, or other nonporous surfaces:</w:t>
            </w:r>
          </w:p>
        </w:tc>
      </w:tr>
      <w:tr w:rsidR="00E24CAD" w:rsidTr="002849EF">
        <w:trPr>
          <w:trHeight w:val="460"/>
        </w:trPr>
        <w:tc>
          <w:tcPr>
            <w:tcW w:w="3110" w:type="dxa"/>
            <w:gridSpan w:val="6"/>
          </w:tcPr>
          <w:p w:rsidR="00E24CAD" w:rsidRDefault="0097373B">
            <w:pPr>
              <w:pStyle w:val="TableParagraph"/>
              <w:spacing w:before="10"/>
              <w:rPr>
                <w:sz w:val="17"/>
              </w:rPr>
            </w:pPr>
            <w:r>
              <w:rPr>
                <w:sz w:val="17"/>
              </w:rPr>
              <w:t>6 mm (minimum)</w:t>
            </w:r>
          </w:p>
        </w:tc>
        <w:tc>
          <w:tcPr>
            <w:tcW w:w="3110" w:type="dxa"/>
          </w:tcPr>
          <w:p w:rsidR="00E24CAD" w:rsidRDefault="0097373B">
            <w:pPr>
              <w:pStyle w:val="TableParagraph"/>
              <w:spacing w:before="10"/>
              <w:rPr>
                <w:sz w:val="17"/>
              </w:rPr>
            </w:pPr>
            <w:r>
              <w:rPr>
                <w:sz w:val="17"/>
              </w:rPr>
              <w:t>6 mm</w:t>
            </w:r>
          </w:p>
        </w:tc>
        <w:tc>
          <w:tcPr>
            <w:tcW w:w="3087" w:type="dxa"/>
            <w:gridSpan w:val="2"/>
          </w:tcPr>
          <w:p w:rsidR="00E24CAD" w:rsidRDefault="0097373B">
            <w:pPr>
              <w:pStyle w:val="TableParagraph"/>
              <w:spacing w:before="10"/>
              <w:ind w:left="58"/>
              <w:rPr>
                <w:sz w:val="17"/>
              </w:rPr>
            </w:pPr>
            <w:r>
              <w:rPr>
                <w:sz w:val="17"/>
              </w:rPr>
              <w:t>6 mm</w:t>
            </w:r>
          </w:p>
        </w:tc>
      </w:tr>
      <w:tr w:rsidR="00E24CAD" w:rsidTr="002849EF">
        <w:trPr>
          <w:trHeight w:val="460"/>
        </w:trPr>
        <w:tc>
          <w:tcPr>
            <w:tcW w:w="3110" w:type="dxa"/>
            <w:gridSpan w:val="6"/>
          </w:tcPr>
          <w:p w:rsidR="00E24CAD" w:rsidRDefault="0097373B">
            <w:pPr>
              <w:pStyle w:val="TableParagraph"/>
              <w:spacing w:before="10"/>
              <w:rPr>
                <w:sz w:val="17"/>
              </w:rPr>
            </w:pPr>
            <w:r>
              <w:rPr>
                <w:sz w:val="17"/>
              </w:rPr>
              <w:t>over 6 mm</w:t>
            </w:r>
          </w:p>
        </w:tc>
        <w:tc>
          <w:tcPr>
            <w:tcW w:w="3110" w:type="dxa"/>
          </w:tcPr>
          <w:p w:rsidR="00E24CAD" w:rsidRDefault="0097373B">
            <w:pPr>
              <w:pStyle w:val="TableParagraph"/>
              <w:spacing w:before="10"/>
              <w:rPr>
                <w:sz w:val="17"/>
              </w:rPr>
            </w:pPr>
            <w:r>
              <w:rPr>
                <w:sz w:val="17"/>
              </w:rPr>
              <w:t>1/2 of width</w:t>
            </w:r>
          </w:p>
        </w:tc>
        <w:tc>
          <w:tcPr>
            <w:tcW w:w="3087" w:type="dxa"/>
            <w:gridSpan w:val="2"/>
          </w:tcPr>
          <w:p w:rsidR="00E24CAD" w:rsidRDefault="0097373B">
            <w:pPr>
              <w:pStyle w:val="TableParagraph"/>
              <w:spacing w:before="10"/>
              <w:ind w:left="58"/>
              <w:rPr>
                <w:sz w:val="17"/>
              </w:rPr>
            </w:pPr>
            <w:r>
              <w:rPr>
                <w:sz w:val="17"/>
              </w:rPr>
              <w:t>Equal to width</w:t>
            </w:r>
          </w:p>
        </w:tc>
      </w:tr>
      <w:tr w:rsidR="00E24CAD" w:rsidTr="002849EF">
        <w:trPr>
          <w:trHeight w:val="460"/>
        </w:trPr>
        <w:tc>
          <w:tcPr>
            <w:tcW w:w="9307" w:type="dxa"/>
            <w:gridSpan w:val="9"/>
          </w:tcPr>
          <w:p w:rsidR="00E24CAD" w:rsidRDefault="0097373B">
            <w:pPr>
              <w:pStyle w:val="TableParagraph"/>
              <w:tabs>
                <w:tab w:val="left" w:pos="4701"/>
              </w:tabs>
              <w:spacing w:before="10"/>
              <w:rPr>
                <w:sz w:val="17"/>
              </w:rPr>
            </w:pPr>
            <w:r>
              <w:rPr>
                <w:sz w:val="17"/>
              </w:rPr>
              <w:t>For wood, concrete, ma</w:t>
            </w:r>
            <w:r w:rsidR="002849EF">
              <w:rPr>
                <w:sz w:val="17"/>
              </w:rPr>
              <w:t>sonry, stone surfaces</w:t>
            </w:r>
            <w:r>
              <w:rPr>
                <w:sz w:val="17"/>
              </w:rPr>
              <w:t>:</w:t>
            </w:r>
          </w:p>
        </w:tc>
      </w:tr>
      <w:tr w:rsidR="00E24CAD" w:rsidTr="002849EF">
        <w:trPr>
          <w:trHeight w:val="460"/>
        </w:trPr>
        <w:tc>
          <w:tcPr>
            <w:tcW w:w="3110" w:type="dxa"/>
            <w:gridSpan w:val="6"/>
          </w:tcPr>
          <w:p w:rsidR="00E24CAD" w:rsidRDefault="0097373B">
            <w:pPr>
              <w:pStyle w:val="TableParagraph"/>
              <w:spacing w:before="10"/>
              <w:rPr>
                <w:sz w:val="17"/>
              </w:rPr>
            </w:pPr>
            <w:r>
              <w:rPr>
                <w:sz w:val="17"/>
              </w:rPr>
              <w:t>6 mm (minimum)</w:t>
            </w:r>
          </w:p>
        </w:tc>
        <w:tc>
          <w:tcPr>
            <w:tcW w:w="3110" w:type="dxa"/>
          </w:tcPr>
          <w:p w:rsidR="00E24CAD" w:rsidRDefault="0097373B">
            <w:pPr>
              <w:pStyle w:val="TableParagraph"/>
              <w:spacing w:before="10"/>
              <w:rPr>
                <w:sz w:val="17"/>
              </w:rPr>
            </w:pPr>
            <w:r>
              <w:rPr>
                <w:sz w:val="17"/>
              </w:rPr>
              <w:t>6 mm</w:t>
            </w:r>
          </w:p>
        </w:tc>
        <w:tc>
          <w:tcPr>
            <w:tcW w:w="3087" w:type="dxa"/>
            <w:gridSpan w:val="2"/>
          </w:tcPr>
          <w:p w:rsidR="00E24CAD" w:rsidRDefault="0097373B">
            <w:pPr>
              <w:pStyle w:val="TableParagraph"/>
              <w:spacing w:before="10"/>
              <w:ind w:left="58"/>
              <w:rPr>
                <w:sz w:val="17"/>
              </w:rPr>
            </w:pPr>
            <w:r>
              <w:rPr>
                <w:sz w:val="17"/>
              </w:rPr>
              <w:t>6 mm</w:t>
            </w:r>
          </w:p>
        </w:tc>
      </w:tr>
      <w:tr w:rsidR="00E24CAD" w:rsidTr="002849EF">
        <w:trPr>
          <w:trHeight w:val="460"/>
        </w:trPr>
        <w:tc>
          <w:tcPr>
            <w:tcW w:w="3110" w:type="dxa"/>
            <w:gridSpan w:val="6"/>
          </w:tcPr>
          <w:p w:rsidR="00E24CAD" w:rsidRDefault="0097373B">
            <w:pPr>
              <w:pStyle w:val="TableParagraph"/>
              <w:spacing w:before="10"/>
              <w:rPr>
                <w:sz w:val="17"/>
              </w:rPr>
            </w:pPr>
            <w:r>
              <w:rPr>
                <w:sz w:val="17"/>
              </w:rPr>
              <w:t>over 6 mm to 13 mm</w:t>
            </w:r>
          </w:p>
        </w:tc>
        <w:tc>
          <w:tcPr>
            <w:tcW w:w="3110" w:type="dxa"/>
          </w:tcPr>
          <w:p w:rsidR="00E24CAD" w:rsidRDefault="0097373B">
            <w:pPr>
              <w:pStyle w:val="TableParagraph"/>
              <w:spacing w:before="10"/>
              <w:rPr>
                <w:sz w:val="17"/>
              </w:rPr>
            </w:pPr>
            <w:r>
              <w:rPr>
                <w:sz w:val="17"/>
              </w:rPr>
              <w:t>6 mm</w:t>
            </w:r>
          </w:p>
        </w:tc>
        <w:tc>
          <w:tcPr>
            <w:tcW w:w="3087" w:type="dxa"/>
            <w:gridSpan w:val="2"/>
          </w:tcPr>
          <w:p w:rsidR="00E24CAD" w:rsidRDefault="0097373B">
            <w:pPr>
              <w:pStyle w:val="TableParagraph"/>
              <w:spacing w:before="10"/>
              <w:ind w:left="58"/>
              <w:rPr>
                <w:sz w:val="17"/>
              </w:rPr>
            </w:pPr>
            <w:r>
              <w:rPr>
                <w:sz w:val="17"/>
              </w:rPr>
              <w:t>Equal to width</w:t>
            </w:r>
          </w:p>
        </w:tc>
      </w:tr>
      <w:tr w:rsidR="00E24CAD" w:rsidTr="002849EF">
        <w:trPr>
          <w:gridAfter w:val="1"/>
          <w:wAfter w:w="7" w:type="dxa"/>
          <w:trHeight w:val="460"/>
        </w:trPr>
        <w:tc>
          <w:tcPr>
            <w:tcW w:w="522" w:type="dxa"/>
            <w:tcBorders>
              <w:right w:val="nil"/>
            </w:tcBorders>
          </w:tcPr>
          <w:p w:rsidR="00E24CAD" w:rsidRDefault="0097373B">
            <w:pPr>
              <w:pStyle w:val="TableParagraph"/>
              <w:ind w:left="39" w:right="26"/>
              <w:jc w:val="center"/>
              <w:rPr>
                <w:sz w:val="17"/>
              </w:rPr>
            </w:pPr>
            <w:r>
              <w:rPr>
                <w:sz w:val="17"/>
              </w:rPr>
              <w:t>over</w:t>
            </w:r>
          </w:p>
        </w:tc>
        <w:tc>
          <w:tcPr>
            <w:tcW w:w="309" w:type="dxa"/>
            <w:tcBorders>
              <w:left w:val="nil"/>
              <w:right w:val="nil"/>
            </w:tcBorders>
          </w:tcPr>
          <w:p w:rsidR="00E24CAD" w:rsidRDefault="0097373B">
            <w:pPr>
              <w:pStyle w:val="TableParagraph"/>
              <w:ind w:left="59"/>
              <w:rPr>
                <w:sz w:val="17"/>
              </w:rPr>
            </w:pPr>
            <w:r>
              <w:rPr>
                <w:sz w:val="17"/>
              </w:rPr>
              <w:t>13</w:t>
            </w:r>
          </w:p>
        </w:tc>
        <w:tc>
          <w:tcPr>
            <w:tcW w:w="309" w:type="dxa"/>
            <w:tcBorders>
              <w:left w:val="nil"/>
              <w:right w:val="nil"/>
            </w:tcBorders>
          </w:tcPr>
          <w:p w:rsidR="00E24CAD" w:rsidRDefault="0097373B">
            <w:pPr>
              <w:pStyle w:val="TableParagraph"/>
              <w:ind w:left="59"/>
              <w:rPr>
                <w:sz w:val="17"/>
              </w:rPr>
            </w:pPr>
            <w:r>
              <w:rPr>
                <w:sz w:val="17"/>
              </w:rPr>
              <w:t>mm</w:t>
            </w:r>
          </w:p>
        </w:tc>
        <w:tc>
          <w:tcPr>
            <w:tcW w:w="309" w:type="dxa"/>
            <w:tcBorders>
              <w:left w:val="nil"/>
              <w:right w:val="nil"/>
            </w:tcBorders>
          </w:tcPr>
          <w:p w:rsidR="00E24CAD" w:rsidRDefault="0097373B">
            <w:pPr>
              <w:pStyle w:val="TableParagraph"/>
              <w:ind w:left="60"/>
              <w:rPr>
                <w:sz w:val="17"/>
              </w:rPr>
            </w:pPr>
            <w:r>
              <w:rPr>
                <w:sz w:val="17"/>
              </w:rPr>
              <w:t>to</w:t>
            </w:r>
          </w:p>
        </w:tc>
        <w:tc>
          <w:tcPr>
            <w:tcW w:w="308" w:type="dxa"/>
            <w:tcBorders>
              <w:left w:val="nil"/>
              <w:right w:val="nil"/>
            </w:tcBorders>
          </w:tcPr>
          <w:p w:rsidR="00E24CAD" w:rsidRDefault="0097373B">
            <w:pPr>
              <w:pStyle w:val="TableParagraph"/>
              <w:ind w:left="61"/>
              <w:rPr>
                <w:sz w:val="17"/>
              </w:rPr>
            </w:pPr>
            <w:r>
              <w:rPr>
                <w:sz w:val="17"/>
              </w:rPr>
              <w:t>25</w:t>
            </w:r>
          </w:p>
        </w:tc>
        <w:tc>
          <w:tcPr>
            <w:tcW w:w="1353" w:type="dxa"/>
            <w:tcBorders>
              <w:left w:val="nil"/>
            </w:tcBorders>
          </w:tcPr>
          <w:p w:rsidR="00E24CAD" w:rsidRDefault="0097373B">
            <w:pPr>
              <w:pStyle w:val="TableParagraph"/>
              <w:ind w:left="62"/>
              <w:rPr>
                <w:sz w:val="17"/>
              </w:rPr>
            </w:pPr>
            <w:r>
              <w:rPr>
                <w:sz w:val="17"/>
              </w:rPr>
              <w:t>mm</w:t>
            </w:r>
          </w:p>
        </w:tc>
        <w:tc>
          <w:tcPr>
            <w:tcW w:w="3110" w:type="dxa"/>
          </w:tcPr>
          <w:p w:rsidR="00E24CAD" w:rsidRDefault="0097373B">
            <w:pPr>
              <w:pStyle w:val="TableParagraph"/>
              <w:ind w:left="62"/>
              <w:rPr>
                <w:sz w:val="17"/>
              </w:rPr>
            </w:pPr>
            <w:r>
              <w:rPr>
                <w:sz w:val="17"/>
              </w:rPr>
              <w:t>50 mm</w:t>
            </w:r>
          </w:p>
        </w:tc>
        <w:tc>
          <w:tcPr>
            <w:tcW w:w="3080" w:type="dxa"/>
          </w:tcPr>
          <w:p w:rsidR="00E24CAD" w:rsidRDefault="0097373B">
            <w:pPr>
              <w:pStyle w:val="TableParagraph"/>
              <w:ind w:left="64"/>
              <w:rPr>
                <w:sz w:val="17"/>
              </w:rPr>
            </w:pPr>
            <w:r>
              <w:rPr>
                <w:sz w:val="17"/>
              </w:rPr>
              <w:t>16 mm</w:t>
            </w:r>
          </w:p>
        </w:tc>
      </w:tr>
      <w:tr w:rsidR="00E24CAD" w:rsidTr="002849EF">
        <w:trPr>
          <w:gridAfter w:val="1"/>
          <w:wAfter w:w="7" w:type="dxa"/>
          <w:trHeight w:val="431"/>
        </w:trPr>
        <w:tc>
          <w:tcPr>
            <w:tcW w:w="522" w:type="dxa"/>
            <w:tcBorders>
              <w:right w:val="nil"/>
            </w:tcBorders>
          </w:tcPr>
          <w:p w:rsidR="00E24CAD" w:rsidRDefault="0097373B">
            <w:pPr>
              <w:pStyle w:val="TableParagraph"/>
              <w:ind w:left="39" w:right="26"/>
              <w:jc w:val="center"/>
              <w:rPr>
                <w:sz w:val="17"/>
              </w:rPr>
            </w:pPr>
            <w:r>
              <w:rPr>
                <w:sz w:val="17"/>
              </w:rPr>
              <w:t>Over</w:t>
            </w:r>
          </w:p>
        </w:tc>
        <w:tc>
          <w:tcPr>
            <w:tcW w:w="309" w:type="dxa"/>
            <w:tcBorders>
              <w:left w:val="nil"/>
              <w:right w:val="nil"/>
            </w:tcBorders>
          </w:tcPr>
          <w:p w:rsidR="00E24CAD" w:rsidRDefault="0097373B">
            <w:pPr>
              <w:pStyle w:val="TableParagraph"/>
              <w:ind w:left="59"/>
              <w:rPr>
                <w:sz w:val="17"/>
              </w:rPr>
            </w:pPr>
            <w:r>
              <w:rPr>
                <w:sz w:val="17"/>
              </w:rPr>
              <w:t>25</w:t>
            </w:r>
          </w:p>
        </w:tc>
        <w:tc>
          <w:tcPr>
            <w:tcW w:w="309" w:type="dxa"/>
            <w:tcBorders>
              <w:left w:val="nil"/>
              <w:right w:val="nil"/>
            </w:tcBorders>
          </w:tcPr>
          <w:p w:rsidR="00E24CAD" w:rsidRDefault="0097373B">
            <w:pPr>
              <w:pStyle w:val="TableParagraph"/>
              <w:ind w:left="59"/>
              <w:rPr>
                <w:sz w:val="17"/>
              </w:rPr>
            </w:pPr>
            <w:r>
              <w:rPr>
                <w:sz w:val="17"/>
              </w:rPr>
              <w:t>mm</w:t>
            </w:r>
          </w:p>
        </w:tc>
        <w:tc>
          <w:tcPr>
            <w:tcW w:w="309" w:type="dxa"/>
            <w:tcBorders>
              <w:left w:val="nil"/>
              <w:right w:val="nil"/>
            </w:tcBorders>
          </w:tcPr>
          <w:p w:rsidR="00E24CAD" w:rsidRDefault="00E24CAD">
            <w:pPr>
              <w:pStyle w:val="TableParagraph"/>
              <w:spacing w:before="0"/>
              <w:ind w:left="0"/>
              <w:rPr>
                <w:rFonts w:ascii="Times New Roman"/>
                <w:sz w:val="18"/>
              </w:rPr>
            </w:pPr>
          </w:p>
        </w:tc>
        <w:tc>
          <w:tcPr>
            <w:tcW w:w="308" w:type="dxa"/>
            <w:tcBorders>
              <w:left w:val="nil"/>
              <w:right w:val="nil"/>
            </w:tcBorders>
          </w:tcPr>
          <w:p w:rsidR="00E24CAD" w:rsidRDefault="00E24CAD">
            <w:pPr>
              <w:pStyle w:val="TableParagraph"/>
              <w:spacing w:before="0"/>
              <w:ind w:left="0"/>
              <w:rPr>
                <w:rFonts w:ascii="Times New Roman"/>
                <w:sz w:val="18"/>
              </w:rPr>
            </w:pPr>
          </w:p>
        </w:tc>
        <w:tc>
          <w:tcPr>
            <w:tcW w:w="1353" w:type="dxa"/>
            <w:tcBorders>
              <w:left w:val="nil"/>
            </w:tcBorders>
          </w:tcPr>
          <w:p w:rsidR="00E24CAD" w:rsidRDefault="00E24CAD">
            <w:pPr>
              <w:pStyle w:val="TableParagraph"/>
              <w:spacing w:before="0"/>
              <w:ind w:left="0"/>
              <w:rPr>
                <w:rFonts w:ascii="Times New Roman"/>
                <w:sz w:val="18"/>
              </w:rPr>
            </w:pPr>
          </w:p>
        </w:tc>
        <w:tc>
          <w:tcPr>
            <w:tcW w:w="6190" w:type="dxa"/>
            <w:gridSpan w:val="2"/>
          </w:tcPr>
          <w:p w:rsidR="00E24CAD" w:rsidRDefault="0097373B">
            <w:pPr>
              <w:pStyle w:val="TableParagraph"/>
              <w:ind w:left="62"/>
              <w:rPr>
                <w:sz w:val="17"/>
              </w:rPr>
            </w:pPr>
            <w:r>
              <w:rPr>
                <w:sz w:val="17"/>
              </w:rPr>
              <w:t>prohibited</w:t>
            </w:r>
          </w:p>
        </w:tc>
      </w:tr>
    </w:tbl>
    <w:p w:rsidR="00E24CAD" w:rsidRDefault="00E24CAD">
      <w:pPr>
        <w:pStyle w:val="BodyText"/>
        <w:spacing w:before="8"/>
        <w:rPr>
          <w:sz w:val="18"/>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0"/>
        <w:gridCol w:w="3110"/>
        <w:gridCol w:w="3081"/>
      </w:tblGrid>
      <w:tr w:rsidR="00E24CAD">
        <w:trPr>
          <w:trHeight w:val="460"/>
        </w:trPr>
        <w:tc>
          <w:tcPr>
            <w:tcW w:w="9301" w:type="dxa"/>
            <w:gridSpan w:val="3"/>
          </w:tcPr>
          <w:p w:rsidR="00E24CAD" w:rsidRDefault="0097373B">
            <w:pPr>
              <w:pStyle w:val="TableParagraph"/>
              <w:spacing w:before="16"/>
              <w:rPr>
                <w:sz w:val="17"/>
              </w:rPr>
            </w:pPr>
            <w:r>
              <w:rPr>
                <w:sz w:val="17"/>
              </w:rPr>
              <w:t>For metal, glass, or other nonporous surfaces:</w:t>
            </w:r>
          </w:p>
        </w:tc>
      </w:tr>
      <w:tr w:rsidR="00E24CAD">
        <w:trPr>
          <w:trHeight w:val="460"/>
        </w:trPr>
        <w:tc>
          <w:tcPr>
            <w:tcW w:w="3110" w:type="dxa"/>
          </w:tcPr>
          <w:p w:rsidR="00E24CAD" w:rsidRDefault="0097373B">
            <w:pPr>
              <w:pStyle w:val="TableParagraph"/>
              <w:spacing w:before="16"/>
              <w:rPr>
                <w:sz w:val="17"/>
              </w:rPr>
            </w:pPr>
            <w:r>
              <w:rPr>
                <w:sz w:val="17"/>
              </w:rPr>
              <w:t>1/4 inch (minimum)</w:t>
            </w:r>
          </w:p>
        </w:tc>
        <w:tc>
          <w:tcPr>
            <w:tcW w:w="3110" w:type="dxa"/>
          </w:tcPr>
          <w:p w:rsidR="00E24CAD" w:rsidRDefault="0097373B">
            <w:pPr>
              <w:pStyle w:val="TableParagraph"/>
              <w:spacing w:before="16"/>
              <w:rPr>
                <w:sz w:val="17"/>
              </w:rPr>
            </w:pPr>
            <w:r>
              <w:rPr>
                <w:sz w:val="17"/>
              </w:rPr>
              <w:t>1/4 inch</w:t>
            </w:r>
          </w:p>
        </w:tc>
        <w:tc>
          <w:tcPr>
            <w:tcW w:w="3081" w:type="dxa"/>
          </w:tcPr>
          <w:p w:rsidR="00E24CAD" w:rsidRDefault="0097373B">
            <w:pPr>
              <w:pStyle w:val="TableParagraph"/>
              <w:spacing w:before="16"/>
              <w:ind w:left="58"/>
              <w:rPr>
                <w:sz w:val="17"/>
              </w:rPr>
            </w:pPr>
            <w:r>
              <w:rPr>
                <w:sz w:val="17"/>
              </w:rPr>
              <w:t>1/4 inch</w:t>
            </w:r>
          </w:p>
        </w:tc>
      </w:tr>
      <w:tr w:rsidR="00E24CAD">
        <w:trPr>
          <w:trHeight w:val="460"/>
        </w:trPr>
        <w:tc>
          <w:tcPr>
            <w:tcW w:w="3110" w:type="dxa"/>
          </w:tcPr>
          <w:p w:rsidR="00E24CAD" w:rsidRDefault="0097373B">
            <w:pPr>
              <w:pStyle w:val="TableParagraph"/>
              <w:spacing w:before="16"/>
              <w:rPr>
                <w:sz w:val="17"/>
              </w:rPr>
            </w:pPr>
            <w:r>
              <w:rPr>
                <w:sz w:val="17"/>
              </w:rPr>
              <w:t>over 1/4 inch</w:t>
            </w:r>
          </w:p>
        </w:tc>
        <w:tc>
          <w:tcPr>
            <w:tcW w:w="3110" w:type="dxa"/>
          </w:tcPr>
          <w:p w:rsidR="00E24CAD" w:rsidRDefault="0097373B">
            <w:pPr>
              <w:pStyle w:val="TableParagraph"/>
              <w:spacing w:before="16"/>
              <w:rPr>
                <w:sz w:val="17"/>
              </w:rPr>
            </w:pPr>
            <w:r>
              <w:rPr>
                <w:sz w:val="17"/>
              </w:rPr>
              <w:t>1/2 of width</w:t>
            </w:r>
          </w:p>
        </w:tc>
        <w:tc>
          <w:tcPr>
            <w:tcW w:w="3081" w:type="dxa"/>
          </w:tcPr>
          <w:p w:rsidR="00E24CAD" w:rsidRDefault="0097373B">
            <w:pPr>
              <w:pStyle w:val="TableParagraph"/>
              <w:spacing w:before="16"/>
              <w:ind w:left="58"/>
              <w:rPr>
                <w:sz w:val="17"/>
              </w:rPr>
            </w:pPr>
            <w:r>
              <w:rPr>
                <w:sz w:val="17"/>
              </w:rPr>
              <w:t>Equal to width</w:t>
            </w:r>
          </w:p>
        </w:tc>
      </w:tr>
      <w:tr w:rsidR="00E24CAD">
        <w:trPr>
          <w:trHeight w:val="460"/>
        </w:trPr>
        <w:tc>
          <w:tcPr>
            <w:tcW w:w="9301" w:type="dxa"/>
            <w:gridSpan w:val="3"/>
          </w:tcPr>
          <w:p w:rsidR="00E24CAD" w:rsidRDefault="0097373B">
            <w:pPr>
              <w:pStyle w:val="TableParagraph"/>
              <w:tabs>
                <w:tab w:val="left" w:pos="4701"/>
              </w:tabs>
              <w:spacing w:before="16"/>
              <w:rPr>
                <w:sz w:val="17"/>
              </w:rPr>
            </w:pPr>
            <w:r>
              <w:rPr>
                <w:sz w:val="17"/>
              </w:rPr>
              <w:t>For</w:t>
            </w:r>
            <w:r w:rsidR="002849EF">
              <w:rPr>
                <w:sz w:val="17"/>
              </w:rPr>
              <w:t xml:space="preserve"> wood, concrete, masonry, stone surfaces</w:t>
            </w:r>
            <w:r>
              <w:rPr>
                <w:sz w:val="17"/>
              </w:rPr>
              <w:t>:</w:t>
            </w:r>
          </w:p>
        </w:tc>
      </w:tr>
      <w:tr w:rsidR="00E24CAD">
        <w:trPr>
          <w:trHeight w:val="460"/>
        </w:trPr>
        <w:tc>
          <w:tcPr>
            <w:tcW w:w="3110" w:type="dxa"/>
          </w:tcPr>
          <w:p w:rsidR="00E24CAD" w:rsidRDefault="0097373B">
            <w:pPr>
              <w:pStyle w:val="TableParagraph"/>
              <w:spacing w:before="16"/>
              <w:rPr>
                <w:sz w:val="17"/>
              </w:rPr>
            </w:pPr>
            <w:r>
              <w:rPr>
                <w:sz w:val="17"/>
              </w:rPr>
              <w:t>1/4 inch (minimum)</w:t>
            </w:r>
          </w:p>
        </w:tc>
        <w:tc>
          <w:tcPr>
            <w:tcW w:w="3110" w:type="dxa"/>
          </w:tcPr>
          <w:p w:rsidR="00E24CAD" w:rsidRDefault="0097373B">
            <w:pPr>
              <w:pStyle w:val="TableParagraph"/>
              <w:spacing w:before="16"/>
              <w:rPr>
                <w:sz w:val="17"/>
              </w:rPr>
            </w:pPr>
            <w:r>
              <w:rPr>
                <w:sz w:val="17"/>
              </w:rPr>
              <w:t>1/4 inch</w:t>
            </w:r>
          </w:p>
        </w:tc>
        <w:tc>
          <w:tcPr>
            <w:tcW w:w="3081" w:type="dxa"/>
          </w:tcPr>
          <w:p w:rsidR="00E24CAD" w:rsidRDefault="0097373B">
            <w:pPr>
              <w:pStyle w:val="TableParagraph"/>
              <w:spacing w:before="16"/>
              <w:ind w:left="58"/>
              <w:rPr>
                <w:sz w:val="17"/>
              </w:rPr>
            </w:pPr>
            <w:r>
              <w:rPr>
                <w:sz w:val="17"/>
              </w:rPr>
              <w:t>1/4 inch</w:t>
            </w:r>
          </w:p>
        </w:tc>
      </w:tr>
      <w:tr w:rsidR="00E24CAD">
        <w:trPr>
          <w:trHeight w:val="460"/>
        </w:trPr>
        <w:tc>
          <w:tcPr>
            <w:tcW w:w="3110" w:type="dxa"/>
          </w:tcPr>
          <w:p w:rsidR="00E24CAD" w:rsidRDefault="0097373B">
            <w:pPr>
              <w:pStyle w:val="TableParagraph"/>
              <w:spacing w:before="16"/>
              <w:rPr>
                <w:sz w:val="17"/>
              </w:rPr>
            </w:pPr>
            <w:r>
              <w:rPr>
                <w:sz w:val="17"/>
              </w:rPr>
              <w:t>over 1/4 inch to 1/2 inch</w:t>
            </w:r>
          </w:p>
        </w:tc>
        <w:tc>
          <w:tcPr>
            <w:tcW w:w="3110" w:type="dxa"/>
          </w:tcPr>
          <w:p w:rsidR="00E24CAD" w:rsidRDefault="0097373B">
            <w:pPr>
              <w:pStyle w:val="TableParagraph"/>
              <w:spacing w:before="16"/>
              <w:rPr>
                <w:sz w:val="17"/>
              </w:rPr>
            </w:pPr>
            <w:r>
              <w:rPr>
                <w:sz w:val="17"/>
              </w:rPr>
              <w:t>1/4 inch</w:t>
            </w:r>
          </w:p>
        </w:tc>
        <w:tc>
          <w:tcPr>
            <w:tcW w:w="3081" w:type="dxa"/>
          </w:tcPr>
          <w:p w:rsidR="00E24CAD" w:rsidRDefault="0097373B">
            <w:pPr>
              <w:pStyle w:val="TableParagraph"/>
              <w:spacing w:before="16"/>
              <w:ind w:left="58"/>
              <w:rPr>
                <w:sz w:val="17"/>
              </w:rPr>
            </w:pPr>
            <w:r>
              <w:rPr>
                <w:sz w:val="17"/>
              </w:rPr>
              <w:t>Equal to width</w:t>
            </w:r>
          </w:p>
        </w:tc>
      </w:tr>
      <w:tr w:rsidR="00E24CAD">
        <w:trPr>
          <w:trHeight w:val="460"/>
        </w:trPr>
        <w:tc>
          <w:tcPr>
            <w:tcW w:w="3110" w:type="dxa"/>
          </w:tcPr>
          <w:p w:rsidR="00E24CAD" w:rsidRDefault="0097373B">
            <w:pPr>
              <w:pStyle w:val="TableParagraph"/>
              <w:spacing w:before="16"/>
              <w:rPr>
                <w:sz w:val="17"/>
              </w:rPr>
            </w:pPr>
            <w:r>
              <w:rPr>
                <w:sz w:val="17"/>
              </w:rPr>
              <w:t>over 1/2 inch to 1 inch</w:t>
            </w:r>
          </w:p>
        </w:tc>
        <w:tc>
          <w:tcPr>
            <w:tcW w:w="3110" w:type="dxa"/>
          </w:tcPr>
          <w:p w:rsidR="00E24CAD" w:rsidRDefault="0097373B">
            <w:pPr>
              <w:pStyle w:val="TableParagraph"/>
              <w:spacing w:before="16"/>
              <w:rPr>
                <w:sz w:val="17"/>
              </w:rPr>
            </w:pPr>
            <w:r>
              <w:rPr>
                <w:sz w:val="17"/>
              </w:rPr>
              <w:t>1/2 inch</w:t>
            </w:r>
          </w:p>
        </w:tc>
        <w:tc>
          <w:tcPr>
            <w:tcW w:w="3081" w:type="dxa"/>
          </w:tcPr>
          <w:p w:rsidR="00E24CAD" w:rsidRDefault="0097373B">
            <w:pPr>
              <w:pStyle w:val="TableParagraph"/>
              <w:spacing w:before="16"/>
              <w:ind w:left="58"/>
              <w:rPr>
                <w:sz w:val="17"/>
              </w:rPr>
            </w:pPr>
            <w:r>
              <w:rPr>
                <w:sz w:val="17"/>
              </w:rPr>
              <w:t>5/8 inch</w:t>
            </w:r>
          </w:p>
        </w:tc>
      </w:tr>
      <w:tr w:rsidR="00E24CAD">
        <w:trPr>
          <w:trHeight w:val="431"/>
        </w:trPr>
        <w:tc>
          <w:tcPr>
            <w:tcW w:w="3110" w:type="dxa"/>
          </w:tcPr>
          <w:p w:rsidR="00E24CAD" w:rsidRDefault="0097373B">
            <w:pPr>
              <w:pStyle w:val="TableParagraph"/>
              <w:spacing w:before="16"/>
              <w:rPr>
                <w:sz w:val="17"/>
              </w:rPr>
            </w:pPr>
            <w:r>
              <w:rPr>
                <w:sz w:val="17"/>
              </w:rPr>
              <w:t>Over 1 inch</w:t>
            </w:r>
          </w:p>
        </w:tc>
        <w:tc>
          <w:tcPr>
            <w:tcW w:w="6191" w:type="dxa"/>
            <w:gridSpan w:val="2"/>
          </w:tcPr>
          <w:p w:rsidR="00E24CAD" w:rsidRDefault="0097373B">
            <w:pPr>
              <w:pStyle w:val="TableParagraph"/>
              <w:spacing w:before="16"/>
              <w:rPr>
                <w:sz w:val="17"/>
              </w:rPr>
            </w:pPr>
            <w:r>
              <w:rPr>
                <w:sz w:val="17"/>
              </w:rPr>
              <w:t>prohibited</w:t>
            </w:r>
          </w:p>
        </w:tc>
      </w:tr>
    </w:tbl>
    <w:p w:rsidR="00E24CAD" w:rsidRDefault="00E24CAD">
      <w:pPr>
        <w:pStyle w:val="BodyText"/>
        <w:spacing w:before="10"/>
        <w:rPr>
          <w:sz w:val="9"/>
        </w:rPr>
      </w:pPr>
    </w:p>
    <w:p w:rsidR="00E24CAD" w:rsidRDefault="0097373B">
      <w:pPr>
        <w:pStyle w:val="BodyText"/>
        <w:tabs>
          <w:tab w:val="left" w:pos="3038"/>
          <w:tab w:val="left" w:pos="7598"/>
        </w:tabs>
        <w:spacing w:before="105" w:line="232" w:lineRule="auto"/>
        <w:ind w:left="399" w:right="219"/>
      </w:pPr>
      <w:r>
        <w:t>Unacceptable</w:t>
      </w:r>
      <w:r>
        <w:rPr>
          <w:spacing w:val="-3"/>
        </w:rPr>
        <w:t xml:space="preserve"> </w:t>
      </w:r>
      <w:r>
        <w:t>Ratios:</w:t>
      </w:r>
      <w:r>
        <w:tab/>
        <w:t>Where joints of acceptable width-to-depth ratios</w:t>
      </w:r>
      <w:r>
        <w:rPr>
          <w:spacing w:val="-12"/>
        </w:rPr>
        <w:t xml:space="preserve"> </w:t>
      </w:r>
      <w:r>
        <w:t>have not been provided, clean out joints to acceptable depths and grind or cut to acceptable widths without damage to the</w:t>
      </w:r>
      <w:r>
        <w:rPr>
          <w:spacing w:val="-10"/>
        </w:rPr>
        <w:t xml:space="preserve"> </w:t>
      </w:r>
      <w:r>
        <w:t>adjoining</w:t>
      </w:r>
      <w:r>
        <w:rPr>
          <w:spacing w:val="-2"/>
        </w:rPr>
        <w:t xml:space="preserve"> </w:t>
      </w:r>
      <w:r>
        <w:t>work.</w:t>
      </w:r>
      <w:r>
        <w:tab/>
        <w:t>Grinding is prohibited at metal</w:t>
      </w:r>
      <w:r>
        <w:rPr>
          <w:spacing w:val="-1"/>
        </w:rPr>
        <w:t xml:space="preserve"> </w:t>
      </w:r>
      <w:r>
        <w:t>surfaces.</w:t>
      </w:r>
    </w:p>
    <w:p w:rsidR="00E24CAD" w:rsidRDefault="00E24CAD">
      <w:pPr>
        <w:pStyle w:val="BodyText"/>
        <w:spacing w:before="3"/>
        <w:rPr>
          <w:sz w:val="19"/>
        </w:rPr>
      </w:pPr>
    </w:p>
    <w:p w:rsidR="00E24CAD" w:rsidRDefault="0097373B">
      <w:pPr>
        <w:pStyle w:val="ListParagraph"/>
        <w:numPr>
          <w:ilvl w:val="2"/>
          <w:numId w:val="2"/>
        </w:numPr>
        <w:tabs>
          <w:tab w:val="left" w:pos="1140"/>
          <w:tab w:val="left" w:pos="1141"/>
        </w:tabs>
        <w:ind w:hanging="219"/>
        <w:rPr>
          <w:sz w:val="20"/>
        </w:rPr>
      </w:pPr>
      <w:r>
        <w:rPr>
          <w:sz w:val="20"/>
        </w:rPr>
        <w:t>Unacceptable Sealant</w:t>
      </w:r>
      <w:r>
        <w:rPr>
          <w:spacing w:val="-1"/>
          <w:sz w:val="20"/>
        </w:rPr>
        <w:t xml:space="preserve"> </w:t>
      </w:r>
      <w:r>
        <w:rPr>
          <w:sz w:val="20"/>
        </w:rPr>
        <w:t>Use</w:t>
      </w:r>
    </w:p>
    <w:p w:rsidR="00E24CAD" w:rsidRDefault="00E24CAD">
      <w:pPr>
        <w:pStyle w:val="BodyText"/>
        <w:spacing w:before="2"/>
        <w:rPr>
          <w:sz w:val="19"/>
        </w:rPr>
      </w:pPr>
    </w:p>
    <w:p w:rsidR="00E24CAD" w:rsidRDefault="0097373B">
      <w:pPr>
        <w:pStyle w:val="BodyText"/>
        <w:tabs>
          <w:tab w:val="left" w:pos="8678"/>
        </w:tabs>
        <w:spacing w:line="232" w:lineRule="auto"/>
        <w:ind w:left="399" w:right="219"/>
      </w:pPr>
      <w:r>
        <w:t>Do not install sealants in lieu of other required building enclosure weatherproofing components such as flashing, drainage components, and</w:t>
      </w:r>
      <w:r>
        <w:rPr>
          <w:spacing w:val="-16"/>
        </w:rPr>
        <w:t xml:space="preserve"> </w:t>
      </w:r>
      <w:r>
        <w:t>joint closure accessories, or to close gaps between walls, floors, roofs, windows, and doors, that exceed acceptable</w:t>
      </w:r>
      <w:r>
        <w:rPr>
          <w:spacing w:val="-11"/>
        </w:rPr>
        <w:t xml:space="preserve"> </w:t>
      </w:r>
      <w:r>
        <w:t>installation</w:t>
      </w:r>
      <w:r>
        <w:rPr>
          <w:spacing w:val="-2"/>
        </w:rPr>
        <w:t xml:space="preserve"> </w:t>
      </w:r>
      <w:r>
        <w:t>tolerances.</w:t>
      </w:r>
      <w:r>
        <w:tab/>
        <w:t>Remove sealants that have been used in an unacceptable manner and correct</w:t>
      </w:r>
      <w:r>
        <w:rPr>
          <w:spacing w:val="-16"/>
        </w:rPr>
        <w:t xml:space="preserve"> </w:t>
      </w:r>
      <w:r>
        <w:t>building enclosure deficiencies to comply with contract documents</w:t>
      </w:r>
      <w:r>
        <w:rPr>
          <w:spacing w:val="-9"/>
        </w:rPr>
        <w:t xml:space="preserve"> </w:t>
      </w:r>
      <w:r>
        <w:t>requirements.</w:t>
      </w:r>
    </w:p>
    <w:p w:rsidR="00E24CAD" w:rsidRDefault="00E24CAD">
      <w:pPr>
        <w:pStyle w:val="BodyText"/>
        <w:spacing w:before="2"/>
        <w:rPr>
          <w:sz w:val="19"/>
        </w:rPr>
      </w:pPr>
    </w:p>
    <w:p w:rsidR="00E24CAD" w:rsidRDefault="0097373B">
      <w:pPr>
        <w:pStyle w:val="ListParagraph"/>
        <w:numPr>
          <w:ilvl w:val="2"/>
          <w:numId w:val="2"/>
        </w:numPr>
        <w:tabs>
          <w:tab w:val="left" w:pos="1140"/>
          <w:tab w:val="left" w:pos="1141"/>
        </w:tabs>
        <w:ind w:hanging="219"/>
        <w:rPr>
          <w:sz w:val="20"/>
        </w:rPr>
      </w:pPr>
      <w:r>
        <w:rPr>
          <w:sz w:val="20"/>
        </w:rPr>
        <w:t>Masking</w:t>
      </w:r>
      <w:r>
        <w:rPr>
          <w:spacing w:val="-1"/>
          <w:sz w:val="20"/>
        </w:rPr>
        <w:t xml:space="preserve"> </w:t>
      </w:r>
      <w:r>
        <w:rPr>
          <w:sz w:val="20"/>
        </w:rPr>
        <w:t>Tape</w:t>
      </w:r>
    </w:p>
    <w:p w:rsidR="00E24CAD" w:rsidRDefault="00E24CAD">
      <w:pPr>
        <w:pStyle w:val="BodyText"/>
        <w:spacing w:before="2"/>
        <w:rPr>
          <w:sz w:val="19"/>
        </w:rPr>
      </w:pPr>
    </w:p>
    <w:p w:rsidR="00E24CAD" w:rsidRDefault="0097373B">
      <w:pPr>
        <w:pStyle w:val="BodyText"/>
        <w:tabs>
          <w:tab w:val="left" w:pos="1478"/>
        </w:tabs>
        <w:spacing w:before="1" w:line="232" w:lineRule="auto"/>
        <w:ind w:left="399" w:right="99"/>
      </w:pPr>
      <w:r>
        <w:t>Place masking tape on the finished surface on one or both sides of joint cavities to protect adjacent finished surfaces from primer or sealant smears.</w:t>
      </w:r>
      <w:r>
        <w:tab/>
        <w:t>Remove masking tape within 10 minutes of joint filling and</w:t>
      </w:r>
      <w:r>
        <w:rPr>
          <w:spacing w:val="-14"/>
        </w:rPr>
        <w:t xml:space="preserve"> </w:t>
      </w:r>
      <w:r>
        <w:t>tooling.</w:t>
      </w:r>
    </w:p>
    <w:p w:rsidR="00E24CAD" w:rsidRDefault="00E24CAD">
      <w:pPr>
        <w:pStyle w:val="BodyText"/>
        <w:spacing w:before="1"/>
        <w:rPr>
          <w:sz w:val="19"/>
        </w:rPr>
      </w:pPr>
    </w:p>
    <w:p w:rsidR="00E24CAD" w:rsidRDefault="0097373B">
      <w:pPr>
        <w:pStyle w:val="ListParagraph"/>
        <w:numPr>
          <w:ilvl w:val="2"/>
          <w:numId w:val="2"/>
        </w:numPr>
        <w:tabs>
          <w:tab w:val="left" w:pos="1140"/>
          <w:tab w:val="left" w:pos="1141"/>
        </w:tabs>
        <w:ind w:hanging="219"/>
        <w:rPr>
          <w:sz w:val="20"/>
        </w:rPr>
      </w:pPr>
      <w:r>
        <w:rPr>
          <w:sz w:val="20"/>
        </w:rPr>
        <w:t>Backstops</w:t>
      </w:r>
    </w:p>
    <w:p w:rsidR="00E24CAD" w:rsidRDefault="00E24CAD">
      <w:pPr>
        <w:pStyle w:val="BodyText"/>
        <w:spacing w:before="2"/>
        <w:rPr>
          <w:sz w:val="19"/>
        </w:rPr>
      </w:pPr>
    </w:p>
    <w:p w:rsidR="00E24CAD" w:rsidRDefault="0097373B">
      <w:pPr>
        <w:pStyle w:val="BodyText"/>
        <w:tabs>
          <w:tab w:val="left" w:pos="2679"/>
          <w:tab w:val="left" w:pos="6519"/>
        </w:tabs>
        <w:spacing w:line="232" w:lineRule="auto"/>
        <w:ind w:left="399" w:right="219"/>
      </w:pPr>
      <w:r>
        <w:t>Provide backstops dry and free of tears</w:t>
      </w:r>
      <w:r>
        <w:rPr>
          <w:spacing w:val="-8"/>
        </w:rPr>
        <w:t xml:space="preserve"> </w:t>
      </w:r>
      <w:r>
        <w:t>or</w:t>
      </w:r>
      <w:r>
        <w:rPr>
          <w:spacing w:val="-2"/>
        </w:rPr>
        <w:t xml:space="preserve"> </w:t>
      </w:r>
      <w:r>
        <w:t>holes.</w:t>
      </w:r>
      <w:r>
        <w:tab/>
        <w:t>Tightly pack the back</w:t>
      </w:r>
      <w:r>
        <w:rPr>
          <w:spacing w:val="-5"/>
        </w:rPr>
        <w:t xml:space="preserve"> </w:t>
      </w:r>
      <w:r>
        <w:t>or bottom of joint cavities with backstop material to provide joints in specified</w:t>
      </w:r>
      <w:r>
        <w:rPr>
          <w:spacing w:val="-2"/>
        </w:rPr>
        <w:t xml:space="preserve"> </w:t>
      </w:r>
      <w:r>
        <w:t>depths.</w:t>
      </w:r>
      <w:r>
        <w:tab/>
        <w:t>Provide backstops where indicated and where backstops are not indicated but joint cavities exceed the acceptable maximum depths specified in JOINT WIDTH-TO-DEPTH RATIOS</w:t>
      </w:r>
      <w:r>
        <w:rPr>
          <w:spacing w:val="-2"/>
        </w:rPr>
        <w:t xml:space="preserve"> </w:t>
      </w:r>
      <w:r>
        <w:t>Table.</w:t>
      </w:r>
    </w:p>
    <w:p w:rsidR="009263AD" w:rsidRDefault="009263AD">
      <w:pPr>
        <w:pStyle w:val="BodyText"/>
        <w:tabs>
          <w:tab w:val="left" w:pos="2679"/>
          <w:tab w:val="left" w:pos="6519"/>
        </w:tabs>
        <w:spacing w:line="232" w:lineRule="auto"/>
        <w:ind w:left="399" w:right="219"/>
      </w:pPr>
    </w:p>
    <w:p w:rsidR="00E24CAD" w:rsidRDefault="0097373B">
      <w:pPr>
        <w:pStyle w:val="ListParagraph"/>
        <w:numPr>
          <w:ilvl w:val="2"/>
          <w:numId w:val="2"/>
        </w:numPr>
        <w:tabs>
          <w:tab w:val="left" w:pos="1140"/>
          <w:tab w:val="left" w:pos="1141"/>
        </w:tabs>
        <w:spacing w:before="70"/>
        <w:ind w:hanging="219"/>
        <w:rPr>
          <w:sz w:val="20"/>
        </w:rPr>
      </w:pPr>
      <w:r>
        <w:rPr>
          <w:sz w:val="20"/>
        </w:rPr>
        <w:t>Primer</w:t>
      </w:r>
    </w:p>
    <w:p w:rsidR="00E24CAD" w:rsidRDefault="00E24CAD">
      <w:pPr>
        <w:pStyle w:val="BodyText"/>
        <w:spacing w:before="2"/>
        <w:rPr>
          <w:sz w:val="19"/>
        </w:rPr>
      </w:pPr>
    </w:p>
    <w:p w:rsidR="00E24CAD" w:rsidRDefault="0097373B">
      <w:pPr>
        <w:pStyle w:val="BodyText"/>
        <w:spacing w:line="232" w:lineRule="auto"/>
        <w:ind w:left="399" w:right="319"/>
      </w:pPr>
      <w:r>
        <w:t>Clean out loose particles from joints immediately prior to application of. Apply primer to joints in concrete masonry units, wood, and other porous surfaces in accordance with sealant manufacturer's printed instructions.</w:t>
      </w:r>
    </w:p>
    <w:p w:rsidR="00E24CAD" w:rsidRDefault="0097373B">
      <w:pPr>
        <w:pStyle w:val="BodyText"/>
        <w:spacing w:line="222" w:lineRule="exact"/>
        <w:ind w:left="399"/>
      </w:pPr>
      <w:r>
        <w:t>Do not apply primer to exposed finished surfaces.</w:t>
      </w:r>
    </w:p>
    <w:p w:rsidR="00E24CAD" w:rsidRDefault="00E24CAD">
      <w:pPr>
        <w:pStyle w:val="BodyText"/>
        <w:spacing w:before="9"/>
        <w:rPr>
          <w:sz w:val="18"/>
        </w:rPr>
      </w:pPr>
    </w:p>
    <w:p w:rsidR="00E24CAD" w:rsidRDefault="0097373B">
      <w:pPr>
        <w:pStyle w:val="ListParagraph"/>
        <w:numPr>
          <w:ilvl w:val="2"/>
          <w:numId w:val="2"/>
        </w:numPr>
        <w:tabs>
          <w:tab w:val="left" w:pos="1140"/>
          <w:tab w:val="left" w:pos="1141"/>
        </w:tabs>
        <w:ind w:hanging="219"/>
        <w:rPr>
          <w:sz w:val="20"/>
        </w:rPr>
      </w:pPr>
      <w:r>
        <w:rPr>
          <w:sz w:val="20"/>
        </w:rPr>
        <w:t>Bond</w:t>
      </w:r>
      <w:r>
        <w:rPr>
          <w:spacing w:val="-1"/>
          <w:sz w:val="20"/>
        </w:rPr>
        <w:t xml:space="preserve"> </w:t>
      </w:r>
      <w:r>
        <w:rPr>
          <w:sz w:val="20"/>
        </w:rPr>
        <w:t>Breaker</w:t>
      </w:r>
    </w:p>
    <w:p w:rsidR="00E24CAD" w:rsidRDefault="00E24CAD">
      <w:pPr>
        <w:pStyle w:val="BodyText"/>
        <w:spacing w:before="5"/>
        <w:rPr>
          <w:sz w:val="19"/>
        </w:rPr>
      </w:pPr>
    </w:p>
    <w:p w:rsidR="00E24CAD" w:rsidRDefault="0097373B">
      <w:pPr>
        <w:pStyle w:val="BodyText"/>
        <w:spacing w:line="232" w:lineRule="auto"/>
        <w:ind w:left="399" w:right="319"/>
      </w:pPr>
      <w:r>
        <w:t>Provide bond breakers to surfaces not intended to bond in accordance with, sealant manufacturer's printed instructions for each type of surface and sealant combination specified.</w:t>
      </w:r>
    </w:p>
    <w:p w:rsidR="00E24CAD" w:rsidRDefault="00E24CAD">
      <w:pPr>
        <w:pStyle w:val="BodyText"/>
        <w:spacing w:before="10"/>
        <w:rPr>
          <w:sz w:val="18"/>
        </w:rPr>
      </w:pPr>
    </w:p>
    <w:p w:rsidR="00E24CAD" w:rsidRDefault="0097373B">
      <w:pPr>
        <w:pStyle w:val="ListParagraph"/>
        <w:numPr>
          <w:ilvl w:val="2"/>
          <w:numId w:val="2"/>
        </w:numPr>
        <w:tabs>
          <w:tab w:val="left" w:pos="1140"/>
          <w:tab w:val="left" w:pos="1141"/>
        </w:tabs>
        <w:ind w:hanging="219"/>
        <w:rPr>
          <w:sz w:val="20"/>
        </w:rPr>
      </w:pPr>
      <w:r>
        <w:rPr>
          <w:sz w:val="20"/>
        </w:rPr>
        <w:t>Sealants</w:t>
      </w:r>
    </w:p>
    <w:p w:rsidR="00E24CAD" w:rsidRDefault="00E24CAD">
      <w:pPr>
        <w:pStyle w:val="BodyText"/>
        <w:spacing w:before="5"/>
        <w:rPr>
          <w:sz w:val="19"/>
        </w:rPr>
      </w:pPr>
    </w:p>
    <w:p w:rsidR="00E24CAD" w:rsidRDefault="0097373B" w:rsidP="007F284A">
      <w:pPr>
        <w:pStyle w:val="BodyText"/>
        <w:tabs>
          <w:tab w:val="left" w:pos="1718"/>
          <w:tab w:val="left" w:pos="4359"/>
          <w:tab w:val="left" w:pos="6158"/>
          <w:tab w:val="left" w:pos="6639"/>
          <w:tab w:val="left" w:pos="8198"/>
        </w:tabs>
        <w:spacing w:line="232" w:lineRule="auto"/>
        <w:ind w:left="399" w:right="219"/>
      </w:pPr>
      <w:r>
        <w:t>Provide sealan</w:t>
      </w:r>
      <w:r w:rsidR="009263AD">
        <w:t>ts compatible with the materials</w:t>
      </w:r>
      <w:r>
        <w:t xml:space="preserve"> to which they are</w:t>
      </w:r>
      <w:r>
        <w:rPr>
          <w:spacing w:val="-16"/>
        </w:rPr>
        <w:t xml:space="preserve"> </w:t>
      </w:r>
      <w:r>
        <w:t>applied. Do not use a sealant that has exceeded its shelf life or has jelled and cannot be discharged in a continuous flow from the</w:t>
      </w:r>
      <w:r>
        <w:rPr>
          <w:spacing w:val="-11"/>
        </w:rPr>
        <w:t xml:space="preserve"> </w:t>
      </w:r>
      <w:r>
        <w:t>sealant</w:t>
      </w:r>
      <w:r>
        <w:rPr>
          <w:spacing w:val="-2"/>
        </w:rPr>
        <w:t xml:space="preserve"> </w:t>
      </w:r>
      <w:r w:rsidR="007F284A">
        <w:t xml:space="preserve">gun. </w:t>
      </w:r>
      <w:r>
        <w:t>Apply sealants in accordance with the manufacturer's printed instructions with a gun having a nozzle that fits the</w:t>
      </w:r>
      <w:r>
        <w:rPr>
          <w:spacing w:val="-8"/>
        </w:rPr>
        <w:t xml:space="preserve"> </w:t>
      </w:r>
      <w:r>
        <w:t>joint</w:t>
      </w:r>
      <w:r>
        <w:rPr>
          <w:spacing w:val="-2"/>
        </w:rPr>
        <w:t xml:space="preserve"> </w:t>
      </w:r>
      <w:r w:rsidR="007F284A">
        <w:t xml:space="preserve">width. </w:t>
      </w:r>
      <w:r>
        <w:t>Work sealant into joints so as to fill the joints solidly without</w:t>
      </w:r>
      <w:r>
        <w:rPr>
          <w:spacing w:val="-8"/>
        </w:rPr>
        <w:t xml:space="preserve"> </w:t>
      </w:r>
      <w:r>
        <w:t>air</w:t>
      </w:r>
      <w:r>
        <w:rPr>
          <w:spacing w:val="-2"/>
        </w:rPr>
        <w:t xml:space="preserve"> </w:t>
      </w:r>
      <w:r w:rsidR="007F284A">
        <w:t xml:space="preserve">pockets. </w:t>
      </w:r>
      <w:r>
        <w:t>Tool sealant after application to</w:t>
      </w:r>
      <w:r>
        <w:rPr>
          <w:spacing w:val="-4"/>
        </w:rPr>
        <w:t xml:space="preserve"> </w:t>
      </w:r>
      <w:r>
        <w:t>ensure</w:t>
      </w:r>
      <w:r>
        <w:rPr>
          <w:spacing w:val="-2"/>
        </w:rPr>
        <w:t xml:space="preserve"> </w:t>
      </w:r>
      <w:r w:rsidR="007F284A">
        <w:t xml:space="preserve">adhesion. </w:t>
      </w:r>
      <w:r>
        <w:t>Apply sealant uniformly smooth and free</w:t>
      </w:r>
      <w:r>
        <w:rPr>
          <w:spacing w:val="-9"/>
        </w:rPr>
        <w:t xml:space="preserve"> </w:t>
      </w:r>
      <w:r w:rsidR="007F284A">
        <w:t xml:space="preserve">of wrinkles. </w:t>
      </w:r>
      <w:r>
        <w:t>Upon completion of sealant application, roughen partially</w:t>
      </w:r>
      <w:r>
        <w:rPr>
          <w:spacing w:val="-14"/>
        </w:rPr>
        <w:t xml:space="preserve"> </w:t>
      </w:r>
      <w:r>
        <w:t>filled or unfilled joints, apply additional sealant, and tool smooth</w:t>
      </w:r>
      <w:r>
        <w:rPr>
          <w:spacing w:val="-6"/>
        </w:rPr>
        <w:t xml:space="preserve"> </w:t>
      </w:r>
      <w:r>
        <w:t>as</w:t>
      </w:r>
      <w:r w:rsidR="007F284A">
        <w:t xml:space="preserve"> specified.  </w:t>
      </w:r>
      <w:r>
        <w:t>Apply sealer over sealants in accordance with the</w:t>
      </w:r>
      <w:r>
        <w:rPr>
          <w:spacing w:val="-12"/>
        </w:rPr>
        <w:t xml:space="preserve"> </w:t>
      </w:r>
      <w:r>
        <w:t>sealant manufacturer's printed</w:t>
      </w:r>
      <w:r>
        <w:rPr>
          <w:spacing w:val="-1"/>
        </w:rPr>
        <w:t xml:space="preserve"> </w:t>
      </w:r>
      <w:r>
        <w:t>instructions.</w:t>
      </w:r>
    </w:p>
    <w:p w:rsidR="00E24CAD" w:rsidRDefault="00E24CAD">
      <w:pPr>
        <w:pStyle w:val="BodyText"/>
        <w:spacing w:before="3"/>
        <w:rPr>
          <w:sz w:val="19"/>
        </w:rPr>
      </w:pPr>
    </w:p>
    <w:p w:rsidR="00E24CAD" w:rsidRDefault="0097373B">
      <w:pPr>
        <w:pStyle w:val="ListParagraph"/>
        <w:numPr>
          <w:ilvl w:val="1"/>
          <w:numId w:val="1"/>
        </w:numPr>
        <w:tabs>
          <w:tab w:val="left" w:pos="900"/>
          <w:tab w:val="left" w:pos="901"/>
        </w:tabs>
        <w:ind w:hanging="720"/>
        <w:rPr>
          <w:sz w:val="20"/>
        </w:rPr>
      </w:pPr>
      <w:r>
        <w:rPr>
          <w:sz w:val="20"/>
        </w:rPr>
        <w:t>PROTECTION AND</w:t>
      </w:r>
      <w:r>
        <w:rPr>
          <w:spacing w:val="-1"/>
          <w:sz w:val="20"/>
        </w:rPr>
        <w:t xml:space="preserve"> </w:t>
      </w:r>
      <w:r>
        <w:rPr>
          <w:sz w:val="20"/>
        </w:rPr>
        <w:t>CLEANING</w:t>
      </w:r>
    </w:p>
    <w:p w:rsidR="00E24CAD" w:rsidRDefault="00E24CAD">
      <w:pPr>
        <w:pStyle w:val="BodyText"/>
        <w:spacing w:before="8"/>
        <w:rPr>
          <w:sz w:val="18"/>
        </w:rPr>
      </w:pPr>
    </w:p>
    <w:p w:rsidR="00E24CAD" w:rsidRDefault="0097373B">
      <w:pPr>
        <w:pStyle w:val="ListParagraph"/>
        <w:numPr>
          <w:ilvl w:val="2"/>
          <w:numId w:val="1"/>
        </w:numPr>
        <w:tabs>
          <w:tab w:val="left" w:pos="1140"/>
          <w:tab w:val="left" w:pos="1141"/>
        </w:tabs>
        <w:spacing w:before="1"/>
        <w:ind w:hanging="960"/>
        <w:rPr>
          <w:sz w:val="20"/>
        </w:rPr>
      </w:pPr>
      <w:r>
        <w:rPr>
          <w:sz w:val="20"/>
        </w:rPr>
        <w:t>Protection</w:t>
      </w:r>
    </w:p>
    <w:p w:rsidR="00E24CAD" w:rsidRDefault="00E24CAD">
      <w:pPr>
        <w:pStyle w:val="BodyText"/>
        <w:spacing w:before="2"/>
        <w:rPr>
          <w:sz w:val="19"/>
        </w:rPr>
      </w:pPr>
    </w:p>
    <w:p w:rsidR="00E24CAD" w:rsidRDefault="0097373B">
      <w:pPr>
        <w:pStyle w:val="BodyText"/>
        <w:spacing w:line="232" w:lineRule="auto"/>
        <w:ind w:left="399" w:right="339"/>
        <w:jc w:val="both"/>
      </w:pPr>
      <w:r>
        <w:t>Protect areas adjacent to joints from sealant smears. Masking tape may be used for this purpose if removed 5 to 10 minutes after the joint is filled and no residual tape marks remain.</w:t>
      </w:r>
    </w:p>
    <w:p w:rsidR="00E24CAD" w:rsidRDefault="00E24CAD">
      <w:pPr>
        <w:pStyle w:val="BodyText"/>
        <w:spacing w:before="1"/>
        <w:rPr>
          <w:sz w:val="19"/>
        </w:rPr>
      </w:pPr>
    </w:p>
    <w:p w:rsidR="00E24CAD" w:rsidRDefault="0097373B">
      <w:pPr>
        <w:pStyle w:val="ListParagraph"/>
        <w:numPr>
          <w:ilvl w:val="2"/>
          <w:numId w:val="1"/>
        </w:numPr>
        <w:tabs>
          <w:tab w:val="left" w:pos="1140"/>
          <w:tab w:val="left" w:pos="1141"/>
        </w:tabs>
        <w:ind w:hanging="960"/>
        <w:rPr>
          <w:sz w:val="20"/>
        </w:rPr>
      </w:pPr>
      <w:r>
        <w:rPr>
          <w:sz w:val="20"/>
        </w:rPr>
        <w:t>Final</w:t>
      </w:r>
      <w:r>
        <w:rPr>
          <w:spacing w:val="-1"/>
          <w:sz w:val="20"/>
        </w:rPr>
        <w:t xml:space="preserve"> </w:t>
      </w:r>
      <w:r>
        <w:rPr>
          <w:sz w:val="20"/>
        </w:rPr>
        <w:t>Cleaning</w:t>
      </w:r>
    </w:p>
    <w:p w:rsidR="00E24CAD" w:rsidRDefault="00E24CAD">
      <w:pPr>
        <w:pStyle w:val="BodyText"/>
        <w:spacing w:before="2"/>
        <w:rPr>
          <w:sz w:val="19"/>
        </w:rPr>
      </w:pPr>
    </w:p>
    <w:p w:rsidR="00E24CAD" w:rsidRDefault="0097373B">
      <w:pPr>
        <w:pStyle w:val="BodyText"/>
        <w:spacing w:before="1" w:line="232" w:lineRule="auto"/>
        <w:ind w:left="399" w:right="319"/>
      </w:pPr>
      <w:r>
        <w:t>Upon completion of sealant application, remove remaining smears and stains and leave the work in a clean and neat condition.</w:t>
      </w:r>
    </w:p>
    <w:p w:rsidR="00E24CAD" w:rsidRDefault="00E24CAD">
      <w:pPr>
        <w:pStyle w:val="BodyText"/>
        <w:spacing w:before="5"/>
        <w:rPr>
          <w:sz w:val="19"/>
        </w:rPr>
      </w:pPr>
    </w:p>
    <w:p w:rsidR="00E24CAD" w:rsidRDefault="0097373B">
      <w:pPr>
        <w:pStyle w:val="ListParagraph"/>
        <w:numPr>
          <w:ilvl w:val="3"/>
          <w:numId w:val="1"/>
        </w:numPr>
        <w:tabs>
          <w:tab w:val="left" w:pos="900"/>
          <w:tab w:val="left" w:pos="901"/>
          <w:tab w:val="left" w:pos="3660"/>
          <w:tab w:val="left" w:pos="5220"/>
          <w:tab w:val="left" w:pos="5340"/>
        </w:tabs>
        <w:spacing w:line="232" w:lineRule="auto"/>
        <w:ind w:right="437"/>
        <w:rPr>
          <w:sz w:val="20"/>
        </w:rPr>
      </w:pPr>
      <w:r>
        <w:rPr>
          <w:sz w:val="20"/>
        </w:rPr>
        <w:t>Masonry and Other</w:t>
      </w:r>
      <w:r>
        <w:rPr>
          <w:spacing w:val="-5"/>
          <w:sz w:val="20"/>
        </w:rPr>
        <w:t xml:space="preserve"> </w:t>
      </w:r>
      <w:r>
        <w:rPr>
          <w:sz w:val="20"/>
        </w:rPr>
        <w:t>Porous</w:t>
      </w:r>
      <w:r>
        <w:rPr>
          <w:spacing w:val="-2"/>
          <w:sz w:val="20"/>
        </w:rPr>
        <w:t xml:space="preserve"> </w:t>
      </w:r>
      <w:r w:rsidR="007F284A">
        <w:rPr>
          <w:sz w:val="20"/>
        </w:rPr>
        <w:t xml:space="preserve">Surfaces: </w:t>
      </w:r>
      <w:r>
        <w:rPr>
          <w:sz w:val="20"/>
        </w:rPr>
        <w:t>Immediately remove fresh sealant that has been smeared on adjacent masonry, rub clean with a solvent, and remove solvent residue, in accordance with sealant</w:t>
      </w:r>
      <w:r>
        <w:rPr>
          <w:spacing w:val="-15"/>
          <w:sz w:val="20"/>
        </w:rPr>
        <w:t xml:space="preserve"> </w:t>
      </w:r>
      <w:r>
        <w:rPr>
          <w:sz w:val="20"/>
        </w:rPr>
        <w:t>manufacturer's printed</w:t>
      </w:r>
      <w:r>
        <w:rPr>
          <w:spacing w:val="-3"/>
          <w:sz w:val="20"/>
        </w:rPr>
        <w:t xml:space="preserve"> </w:t>
      </w:r>
      <w:r w:rsidR="007F284A">
        <w:rPr>
          <w:sz w:val="20"/>
        </w:rPr>
        <w:t xml:space="preserve">instructions. </w:t>
      </w:r>
      <w:r>
        <w:rPr>
          <w:sz w:val="20"/>
        </w:rPr>
        <w:t>Allow excess sealant to cure for 24 hour then remove by wire brushing</w:t>
      </w:r>
      <w:r>
        <w:rPr>
          <w:spacing w:val="-5"/>
          <w:sz w:val="20"/>
        </w:rPr>
        <w:t xml:space="preserve"> </w:t>
      </w:r>
      <w:r>
        <w:rPr>
          <w:sz w:val="20"/>
        </w:rPr>
        <w:t>or</w:t>
      </w:r>
      <w:r>
        <w:rPr>
          <w:spacing w:val="-2"/>
          <w:sz w:val="20"/>
        </w:rPr>
        <w:t xml:space="preserve"> </w:t>
      </w:r>
      <w:r w:rsidR="007F284A">
        <w:rPr>
          <w:sz w:val="20"/>
        </w:rPr>
        <w:t xml:space="preserve">sanding. </w:t>
      </w:r>
      <w:r>
        <w:rPr>
          <w:sz w:val="20"/>
        </w:rPr>
        <w:t>Remove resulting</w:t>
      </w:r>
      <w:r>
        <w:rPr>
          <w:spacing w:val="-2"/>
          <w:sz w:val="20"/>
        </w:rPr>
        <w:t xml:space="preserve"> </w:t>
      </w:r>
      <w:r>
        <w:rPr>
          <w:sz w:val="20"/>
        </w:rPr>
        <w:t>debris.</w:t>
      </w:r>
    </w:p>
    <w:p w:rsidR="00E24CAD" w:rsidRDefault="00E24CAD">
      <w:pPr>
        <w:pStyle w:val="BodyText"/>
        <w:spacing w:before="6"/>
        <w:rPr>
          <w:sz w:val="19"/>
        </w:rPr>
      </w:pPr>
    </w:p>
    <w:p w:rsidR="00E24CAD" w:rsidRDefault="0097373B">
      <w:pPr>
        <w:pStyle w:val="ListParagraph"/>
        <w:numPr>
          <w:ilvl w:val="3"/>
          <w:numId w:val="1"/>
        </w:numPr>
        <w:tabs>
          <w:tab w:val="left" w:pos="900"/>
          <w:tab w:val="left" w:pos="901"/>
          <w:tab w:val="left" w:pos="4020"/>
          <w:tab w:val="left" w:pos="5460"/>
        </w:tabs>
        <w:spacing w:line="232" w:lineRule="auto"/>
        <w:ind w:right="678"/>
        <w:rPr>
          <w:sz w:val="20"/>
        </w:rPr>
      </w:pPr>
      <w:r>
        <w:rPr>
          <w:sz w:val="20"/>
        </w:rPr>
        <w:t>Metal and Other</w:t>
      </w:r>
      <w:r>
        <w:rPr>
          <w:spacing w:val="-5"/>
          <w:sz w:val="20"/>
        </w:rPr>
        <w:t xml:space="preserve"> </w:t>
      </w:r>
      <w:r>
        <w:rPr>
          <w:sz w:val="20"/>
        </w:rPr>
        <w:t>Non-Porous</w:t>
      </w:r>
      <w:r>
        <w:rPr>
          <w:spacing w:val="-2"/>
          <w:sz w:val="20"/>
        </w:rPr>
        <w:t xml:space="preserve"> </w:t>
      </w:r>
      <w:r w:rsidR="007F284A">
        <w:rPr>
          <w:sz w:val="20"/>
        </w:rPr>
        <w:t xml:space="preserve">Surfaces: </w:t>
      </w:r>
      <w:r>
        <w:rPr>
          <w:sz w:val="20"/>
        </w:rPr>
        <w:t>Remove excess sealant with a solvent</w:t>
      </w:r>
      <w:r>
        <w:rPr>
          <w:spacing w:val="-2"/>
          <w:sz w:val="20"/>
        </w:rPr>
        <w:t xml:space="preserve"> </w:t>
      </w:r>
      <w:r>
        <w:rPr>
          <w:sz w:val="20"/>
        </w:rPr>
        <w:t>moistened</w:t>
      </w:r>
      <w:r>
        <w:rPr>
          <w:spacing w:val="-2"/>
          <w:sz w:val="20"/>
        </w:rPr>
        <w:t xml:space="preserve"> </w:t>
      </w:r>
      <w:r w:rsidR="007F284A">
        <w:rPr>
          <w:sz w:val="20"/>
        </w:rPr>
        <w:t xml:space="preserve">cloth. </w:t>
      </w:r>
      <w:r>
        <w:rPr>
          <w:sz w:val="20"/>
        </w:rPr>
        <w:t>Remove solvent residue in accordance</w:t>
      </w:r>
      <w:r>
        <w:rPr>
          <w:spacing w:val="-9"/>
          <w:sz w:val="20"/>
        </w:rPr>
        <w:t xml:space="preserve"> </w:t>
      </w:r>
      <w:r>
        <w:rPr>
          <w:sz w:val="20"/>
        </w:rPr>
        <w:t>with solvent manufacturer's printed</w:t>
      </w:r>
      <w:r>
        <w:rPr>
          <w:spacing w:val="-2"/>
          <w:sz w:val="20"/>
        </w:rPr>
        <w:t xml:space="preserve"> </w:t>
      </w:r>
      <w:r>
        <w:rPr>
          <w:sz w:val="20"/>
        </w:rPr>
        <w:t>instructions.</w:t>
      </w:r>
    </w:p>
    <w:p w:rsidR="00E24CAD" w:rsidRDefault="00E24CAD">
      <w:pPr>
        <w:pStyle w:val="BodyText"/>
        <w:spacing w:before="1"/>
        <w:rPr>
          <w:sz w:val="19"/>
        </w:rPr>
      </w:pPr>
    </w:p>
    <w:p w:rsidR="00E24CAD" w:rsidRDefault="0097373B" w:rsidP="00A666B3">
      <w:pPr>
        <w:pStyle w:val="BodyText"/>
        <w:ind w:left="1140"/>
        <w:jc w:val="center"/>
      </w:pPr>
      <w:r>
        <w:t>-- End of Section --</w:t>
      </w:r>
    </w:p>
    <w:sectPr w:rsidR="00E24CAD">
      <w:footerReference w:type="default" r:id="rId7"/>
      <w:pgSz w:w="12240" w:h="15840"/>
      <w:pgMar w:top="1360" w:right="1360" w:bottom="1000" w:left="126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8B6" w:rsidRDefault="000B68B6">
      <w:r>
        <w:separator/>
      </w:r>
    </w:p>
  </w:endnote>
  <w:endnote w:type="continuationSeparator" w:id="0">
    <w:p w:rsidR="000B68B6" w:rsidRDefault="000B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635" w:rsidRDefault="002F7635">
    <w:pPr>
      <w:pStyle w:val="BodyText"/>
      <w:spacing w:line="14" w:lineRule="auto"/>
    </w:pPr>
    <w:r>
      <w:rPr>
        <w:noProof/>
      </w:rPr>
      <mc:AlternateContent>
        <mc:Choice Requires="wps">
          <w:drawing>
            <wp:anchor distT="0" distB="0" distL="114300" distR="114300" simplePos="0" relativeHeight="503292080"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635" w:rsidRDefault="002F7635">
                          <w:pPr>
                            <w:pStyle w:val="BodyText"/>
                            <w:spacing w:before="20"/>
                            <w:ind w:left="20"/>
                          </w:pPr>
                          <w:r>
                            <w:t>SECTION 07 92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05pt;margin-top:740.45pt;width:98pt;height:13.35pt;z-index:-2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rsidR="002F7635" w:rsidRDefault="002F7635">
                    <w:pPr>
                      <w:pStyle w:val="BodyText"/>
                      <w:spacing w:before="20"/>
                      <w:ind w:left="20"/>
                    </w:pPr>
                    <w:r>
                      <w:t>SECTION 07 92 00</w:t>
                    </w:r>
                  </w:p>
                </w:txbxContent>
              </v:textbox>
              <w10:wrap anchorx="page" anchory="page"/>
            </v:shape>
          </w:pict>
        </mc:Fallback>
      </mc:AlternateContent>
    </w:r>
    <w:r>
      <w:rPr>
        <w:noProof/>
      </w:rPr>
      <mc:AlternateContent>
        <mc:Choice Requires="wps">
          <w:drawing>
            <wp:anchor distT="0" distB="0" distL="114300" distR="114300" simplePos="0" relativeHeight="503292104"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635" w:rsidRDefault="002F7635">
                          <w:pPr>
                            <w:pStyle w:val="BodyText"/>
                            <w:spacing w:before="20"/>
                            <w:ind w:left="20"/>
                          </w:pPr>
                          <w:r>
                            <w:t xml:space="preserve">Page </w:t>
                          </w:r>
                          <w:r>
                            <w:fldChar w:fldCharType="begin"/>
                          </w:r>
                          <w:r>
                            <w:instrText xml:space="preserve"> PAGE </w:instrText>
                          </w:r>
                          <w:r>
                            <w:fldChar w:fldCharType="separate"/>
                          </w:r>
                          <w:r w:rsidR="00BB15D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8.05pt;margin-top:740.45pt;width:45pt;height:13.35pt;z-index:-24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rsidR="002F7635" w:rsidRDefault="002F7635">
                    <w:pPr>
                      <w:pStyle w:val="BodyText"/>
                      <w:spacing w:before="20"/>
                      <w:ind w:left="20"/>
                    </w:pPr>
                    <w:r>
                      <w:t xml:space="preserve">Page </w:t>
                    </w:r>
                    <w:r>
                      <w:fldChar w:fldCharType="begin"/>
                    </w:r>
                    <w:r>
                      <w:instrText xml:space="preserve"> PAGE </w:instrText>
                    </w:r>
                    <w:r>
                      <w:fldChar w:fldCharType="separate"/>
                    </w:r>
                    <w:r w:rsidR="00BB15D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8B6" w:rsidRDefault="000B68B6">
      <w:r>
        <w:separator/>
      </w:r>
    </w:p>
  </w:footnote>
  <w:footnote w:type="continuationSeparator" w:id="0">
    <w:p w:rsidR="000B68B6" w:rsidRDefault="000B6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FA9"/>
    <w:multiLevelType w:val="multilevel"/>
    <w:tmpl w:val="EEC49708"/>
    <w:lvl w:ilvl="0">
      <w:start w:val="1"/>
      <w:numFmt w:val="decimal"/>
      <w:lvlText w:val="%1"/>
      <w:lvlJc w:val="left"/>
      <w:pPr>
        <w:ind w:left="1358" w:hanging="720"/>
        <w:jc w:val="left"/>
      </w:pPr>
      <w:rPr>
        <w:rFonts w:hint="default"/>
      </w:rPr>
    </w:lvl>
    <w:lvl w:ilvl="1">
      <w:start w:val="1"/>
      <w:numFmt w:val="decimal"/>
      <w:lvlText w:val="%1.%2"/>
      <w:lvlJc w:val="left"/>
      <w:pPr>
        <w:ind w:left="1358" w:hanging="720"/>
        <w:jc w:val="left"/>
      </w:pPr>
      <w:rPr>
        <w:rFonts w:ascii="Courier New" w:eastAsia="Courier New" w:hAnsi="Courier New" w:cs="Courier New" w:hint="default"/>
        <w:w w:val="99"/>
        <w:sz w:val="20"/>
        <w:szCs w:val="20"/>
      </w:rPr>
    </w:lvl>
    <w:lvl w:ilvl="2">
      <w:start w:val="1"/>
      <w:numFmt w:val="decimal"/>
      <w:lvlText w:val="%1.%2.%3"/>
      <w:lvlJc w:val="left"/>
      <w:pPr>
        <w:ind w:left="1838" w:hanging="960"/>
        <w:jc w:val="left"/>
      </w:pPr>
      <w:rPr>
        <w:rFonts w:ascii="Courier New" w:eastAsia="Courier New" w:hAnsi="Courier New" w:cs="Courier New" w:hint="default"/>
        <w:w w:val="99"/>
        <w:sz w:val="20"/>
        <w:szCs w:val="20"/>
      </w:rPr>
    </w:lvl>
    <w:lvl w:ilvl="3">
      <w:numFmt w:val="bullet"/>
      <w:lvlText w:val="•"/>
      <w:lvlJc w:val="left"/>
      <w:pPr>
        <w:ind w:left="2320" w:hanging="960"/>
      </w:pPr>
      <w:rPr>
        <w:rFonts w:hint="default"/>
      </w:rPr>
    </w:lvl>
    <w:lvl w:ilvl="4">
      <w:numFmt w:val="bullet"/>
      <w:lvlText w:val="•"/>
      <w:lvlJc w:val="left"/>
      <w:pPr>
        <w:ind w:left="3362" w:hanging="960"/>
      </w:pPr>
      <w:rPr>
        <w:rFonts w:hint="default"/>
      </w:rPr>
    </w:lvl>
    <w:lvl w:ilvl="5">
      <w:numFmt w:val="bullet"/>
      <w:lvlText w:val="•"/>
      <w:lvlJc w:val="left"/>
      <w:pPr>
        <w:ind w:left="4405" w:hanging="960"/>
      </w:pPr>
      <w:rPr>
        <w:rFonts w:hint="default"/>
      </w:rPr>
    </w:lvl>
    <w:lvl w:ilvl="6">
      <w:numFmt w:val="bullet"/>
      <w:lvlText w:val="•"/>
      <w:lvlJc w:val="left"/>
      <w:pPr>
        <w:ind w:left="5448" w:hanging="960"/>
      </w:pPr>
      <w:rPr>
        <w:rFonts w:hint="default"/>
      </w:rPr>
    </w:lvl>
    <w:lvl w:ilvl="7">
      <w:numFmt w:val="bullet"/>
      <w:lvlText w:val="•"/>
      <w:lvlJc w:val="left"/>
      <w:pPr>
        <w:ind w:left="6491" w:hanging="960"/>
      </w:pPr>
      <w:rPr>
        <w:rFonts w:hint="default"/>
      </w:rPr>
    </w:lvl>
    <w:lvl w:ilvl="8">
      <w:numFmt w:val="bullet"/>
      <w:lvlText w:val="•"/>
      <w:lvlJc w:val="left"/>
      <w:pPr>
        <w:ind w:left="7534" w:hanging="960"/>
      </w:pPr>
      <w:rPr>
        <w:rFonts w:hint="default"/>
      </w:rPr>
    </w:lvl>
  </w:abstractNum>
  <w:abstractNum w:abstractNumId="1" w15:restartNumberingAfterBreak="0">
    <w:nsid w:val="1966085C"/>
    <w:multiLevelType w:val="multilevel"/>
    <w:tmpl w:val="840EAC64"/>
    <w:lvl w:ilvl="0">
      <w:start w:val="3"/>
      <w:numFmt w:val="decimal"/>
      <w:lvlText w:val="%1"/>
      <w:lvlJc w:val="left"/>
      <w:pPr>
        <w:ind w:left="1358" w:hanging="720"/>
        <w:jc w:val="left"/>
      </w:pPr>
      <w:rPr>
        <w:rFonts w:hint="default"/>
      </w:rPr>
    </w:lvl>
    <w:lvl w:ilvl="1">
      <w:start w:val="1"/>
      <w:numFmt w:val="decimal"/>
      <w:lvlText w:val="%1.%2"/>
      <w:lvlJc w:val="left"/>
      <w:pPr>
        <w:ind w:left="1358" w:hanging="720"/>
        <w:jc w:val="left"/>
      </w:pPr>
      <w:rPr>
        <w:rFonts w:ascii="Courier New" w:eastAsia="Courier New" w:hAnsi="Courier New" w:cs="Courier New" w:hint="default"/>
        <w:w w:val="99"/>
        <w:sz w:val="20"/>
        <w:szCs w:val="20"/>
      </w:rPr>
    </w:lvl>
    <w:lvl w:ilvl="2">
      <w:start w:val="1"/>
      <w:numFmt w:val="decimal"/>
      <w:lvlText w:val="%1.%2.%3"/>
      <w:lvlJc w:val="left"/>
      <w:pPr>
        <w:ind w:left="1838" w:hanging="960"/>
        <w:jc w:val="left"/>
      </w:pPr>
      <w:rPr>
        <w:rFonts w:ascii="Courier New" w:eastAsia="Courier New" w:hAnsi="Courier New" w:cs="Courier New" w:hint="default"/>
        <w:w w:val="99"/>
        <w:sz w:val="20"/>
        <w:szCs w:val="20"/>
      </w:rPr>
    </w:lvl>
    <w:lvl w:ilvl="3">
      <w:start w:val="1"/>
      <w:numFmt w:val="decimal"/>
      <w:lvlText w:val="%4."/>
      <w:lvlJc w:val="left"/>
      <w:pPr>
        <w:ind w:left="1639" w:hanging="480"/>
        <w:jc w:val="left"/>
      </w:pPr>
      <w:rPr>
        <w:rFonts w:ascii="Courier New" w:eastAsia="Courier New" w:hAnsi="Courier New" w:cs="Courier New" w:hint="default"/>
        <w:b/>
        <w:bCs/>
        <w:w w:val="99"/>
        <w:sz w:val="20"/>
        <w:szCs w:val="20"/>
      </w:rPr>
    </w:lvl>
    <w:lvl w:ilvl="4">
      <w:numFmt w:val="bullet"/>
      <w:lvlText w:val="•"/>
      <w:lvlJc w:val="left"/>
      <w:pPr>
        <w:ind w:left="3785" w:hanging="480"/>
      </w:pPr>
      <w:rPr>
        <w:rFonts w:hint="default"/>
      </w:rPr>
    </w:lvl>
    <w:lvl w:ilvl="5">
      <w:numFmt w:val="bullet"/>
      <w:lvlText w:val="•"/>
      <w:lvlJc w:val="left"/>
      <w:pPr>
        <w:ind w:left="4757" w:hanging="480"/>
      </w:pPr>
      <w:rPr>
        <w:rFonts w:hint="default"/>
      </w:rPr>
    </w:lvl>
    <w:lvl w:ilvl="6">
      <w:numFmt w:val="bullet"/>
      <w:lvlText w:val="•"/>
      <w:lvlJc w:val="left"/>
      <w:pPr>
        <w:ind w:left="5730" w:hanging="480"/>
      </w:pPr>
      <w:rPr>
        <w:rFonts w:hint="default"/>
      </w:rPr>
    </w:lvl>
    <w:lvl w:ilvl="7">
      <w:numFmt w:val="bullet"/>
      <w:lvlText w:val="•"/>
      <w:lvlJc w:val="left"/>
      <w:pPr>
        <w:ind w:left="6702" w:hanging="480"/>
      </w:pPr>
      <w:rPr>
        <w:rFonts w:hint="default"/>
      </w:rPr>
    </w:lvl>
    <w:lvl w:ilvl="8">
      <w:numFmt w:val="bullet"/>
      <w:lvlText w:val="•"/>
      <w:lvlJc w:val="left"/>
      <w:pPr>
        <w:ind w:left="7675" w:hanging="480"/>
      </w:pPr>
      <w:rPr>
        <w:rFonts w:hint="default"/>
      </w:rPr>
    </w:lvl>
  </w:abstractNum>
  <w:abstractNum w:abstractNumId="2" w15:restartNumberingAfterBreak="0">
    <w:nsid w:val="235F2E93"/>
    <w:multiLevelType w:val="multilevel"/>
    <w:tmpl w:val="FDF2E520"/>
    <w:lvl w:ilvl="0">
      <w:start w:val="2"/>
      <w:numFmt w:val="decimal"/>
      <w:lvlText w:val="%1"/>
      <w:lvlJc w:val="left"/>
      <w:pPr>
        <w:ind w:left="900" w:hanging="721"/>
        <w:jc w:val="left"/>
      </w:pPr>
      <w:rPr>
        <w:rFonts w:hint="default"/>
      </w:rPr>
    </w:lvl>
    <w:lvl w:ilvl="1">
      <w:start w:val="6"/>
      <w:numFmt w:val="decimal"/>
      <w:lvlText w:val="%1.%2"/>
      <w:lvlJc w:val="left"/>
      <w:pPr>
        <w:ind w:left="900" w:hanging="721"/>
        <w:jc w:val="left"/>
      </w:pPr>
      <w:rPr>
        <w:rFonts w:ascii="Courier New" w:eastAsia="Courier New" w:hAnsi="Courier New" w:cs="Courier New" w:hint="default"/>
        <w:w w:val="99"/>
        <w:sz w:val="20"/>
        <w:szCs w:val="20"/>
      </w:rPr>
    </w:lvl>
    <w:lvl w:ilvl="2">
      <w:numFmt w:val="bullet"/>
      <w:lvlText w:val="•"/>
      <w:lvlJc w:val="left"/>
      <w:pPr>
        <w:ind w:left="2644" w:hanging="721"/>
      </w:pPr>
      <w:rPr>
        <w:rFonts w:hint="default"/>
      </w:rPr>
    </w:lvl>
    <w:lvl w:ilvl="3">
      <w:numFmt w:val="bullet"/>
      <w:lvlText w:val="•"/>
      <w:lvlJc w:val="left"/>
      <w:pPr>
        <w:ind w:left="3516" w:hanging="721"/>
      </w:pPr>
      <w:rPr>
        <w:rFonts w:hint="default"/>
      </w:rPr>
    </w:lvl>
    <w:lvl w:ilvl="4">
      <w:numFmt w:val="bullet"/>
      <w:lvlText w:val="•"/>
      <w:lvlJc w:val="left"/>
      <w:pPr>
        <w:ind w:left="4388" w:hanging="721"/>
      </w:pPr>
      <w:rPr>
        <w:rFonts w:hint="default"/>
      </w:rPr>
    </w:lvl>
    <w:lvl w:ilvl="5">
      <w:numFmt w:val="bullet"/>
      <w:lvlText w:val="•"/>
      <w:lvlJc w:val="left"/>
      <w:pPr>
        <w:ind w:left="5260" w:hanging="721"/>
      </w:pPr>
      <w:rPr>
        <w:rFonts w:hint="default"/>
      </w:rPr>
    </w:lvl>
    <w:lvl w:ilvl="6">
      <w:numFmt w:val="bullet"/>
      <w:lvlText w:val="•"/>
      <w:lvlJc w:val="left"/>
      <w:pPr>
        <w:ind w:left="6132" w:hanging="721"/>
      </w:pPr>
      <w:rPr>
        <w:rFonts w:hint="default"/>
      </w:rPr>
    </w:lvl>
    <w:lvl w:ilvl="7">
      <w:numFmt w:val="bullet"/>
      <w:lvlText w:val="•"/>
      <w:lvlJc w:val="left"/>
      <w:pPr>
        <w:ind w:left="7004" w:hanging="721"/>
      </w:pPr>
      <w:rPr>
        <w:rFonts w:hint="default"/>
      </w:rPr>
    </w:lvl>
    <w:lvl w:ilvl="8">
      <w:numFmt w:val="bullet"/>
      <w:lvlText w:val="•"/>
      <w:lvlJc w:val="left"/>
      <w:pPr>
        <w:ind w:left="7876" w:hanging="721"/>
      </w:pPr>
      <w:rPr>
        <w:rFonts w:hint="default"/>
      </w:rPr>
    </w:lvl>
  </w:abstractNum>
  <w:abstractNum w:abstractNumId="3" w15:restartNumberingAfterBreak="0">
    <w:nsid w:val="2F1F6A9C"/>
    <w:multiLevelType w:val="multilevel"/>
    <w:tmpl w:val="B968390C"/>
    <w:lvl w:ilvl="0">
      <w:start w:val="3"/>
      <w:numFmt w:val="decimal"/>
      <w:lvlText w:val="%1"/>
      <w:lvlJc w:val="left"/>
      <w:pPr>
        <w:ind w:left="900" w:hanging="721"/>
        <w:jc w:val="left"/>
      </w:pPr>
      <w:rPr>
        <w:rFonts w:hint="default"/>
      </w:rPr>
    </w:lvl>
    <w:lvl w:ilvl="1">
      <w:start w:val="4"/>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399" w:hanging="961"/>
        <w:jc w:val="left"/>
      </w:pPr>
      <w:rPr>
        <w:rFonts w:ascii="Courier New" w:eastAsia="Courier New" w:hAnsi="Courier New" w:cs="Courier New" w:hint="default"/>
        <w:w w:val="99"/>
        <w:sz w:val="20"/>
        <w:szCs w:val="20"/>
      </w:rPr>
    </w:lvl>
    <w:lvl w:ilvl="3">
      <w:numFmt w:val="bullet"/>
      <w:lvlText w:val="•"/>
      <w:lvlJc w:val="left"/>
      <w:pPr>
        <w:ind w:left="2837" w:hanging="961"/>
      </w:pPr>
      <w:rPr>
        <w:rFonts w:hint="default"/>
      </w:rPr>
    </w:lvl>
    <w:lvl w:ilvl="4">
      <w:numFmt w:val="bullet"/>
      <w:lvlText w:val="•"/>
      <w:lvlJc w:val="left"/>
      <w:pPr>
        <w:ind w:left="3806" w:hanging="961"/>
      </w:pPr>
      <w:rPr>
        <w:rFonts w:hint="default"/>
      </w:rPr>
    </w:lvl>
    <w:lvl w:ilvl="5">
      <w:numFmt w:val="bullet"/>
      <w:lvlText w:val="•"/>
      <w:lvlJc w:val="left"/>
      <w:pPr>
        <w:ind w:left="4775" w:hanging="961"/>
      </w:pPr>
      <w:rPr>
        <w:rFonts w:hint="default"/>
      </w:rPr>
    </w:lvl>
    <w:lvl w:ilvl="6">
      <w:numFmt w:val="bullet"/>
      <w:lvlText w:val="•"/>
      <w:lvlJc w:val="left"/>
      <w:pPr>
        <w:ind w:left="5744" w:hanging="961"/>
      </w:pPr>
      <w:rPr>
        <w:rFonts w:hint="default"/>
      </w:rPr>
    </w:lvl>
    <w:lvl w:ilvl="7">
      <w:numFmt w:val="bullet"/>
      <w:lvlText w:val="•"/>
      <w:lvlJc w:val="left"/>
      <w:pPr>
        <w:ind w:left="6713" w:hanging="961"/>
      </w:pPr>
      <w:rPr>
        <w:rFonts w:hint="default"/>
      </w:rPr>
    </w:lvl>
    <w:lvl w:ilvl="8">
      <w:numFmt w:val="bullet"/>
      <w:lvlText w:val="•"/>
      <w:lvlJc w:val="left"/>
      <w:pPr>
        <w:ind w:left="7682" w:hanging="961"/>
      </w:pPr>
      <w:rPr>
        <w:rFonts w:hint="default"/>
      </w:rPr>
    </w:lvl>
  </w:abstractNum>
  <w:abstractNum w:abstractNumId="4" w15:restartNumberingAfterBreak="0">
    <w:nsid w:val="347520A2"/>
    <w:multiLevelType w:val="multilevel"/>
    <w:tmpl w:val="FDC2993A"/>
    <w:lvl w:ilvl="0">
      <w:start w:val="1"/>
      <w:numFmt w:val="decimal"/>
      <w:lvlText w:val="%1"/>
      <w:lvlJc w:val="left"/>
      <w:pPr>
        <w:ind w:left="900" w:hanging="721"/>
        <w:jc w:val="left"/>
      </w:pPr>
      <w:rPr>
        <w:rFonts w:hint="default"/>
      </w:rPr>
    </w:lvl>
    <w:lvl w:ilvl="1">
      <w:start w:val="1"/>
      <w:numFmt w:val="decimal"/>
      <w:lvlText w:val="%1.%2"/>
      <w:lvlJc w:val="left"/>
      <w:pPr>
        <w:ind w:left="900" w:hanging="721"/>
        <w:jc w:val="left"/>
      </w:pPr>
      <w:rPr>
        <w:rFonts w:ascii="Courier New" w:eastAsia="Courier New" w:hAnsi="Courier New" w:cs="Courier New" w:hint="default"/>
        <w:w w:val="99"/>
        <w:sz w:val="20"/>
        <w:szCs w:val="20"/>
      </w:rPr>
    </w:lvl>
    <w:lvl w:ilvl="2">
      <w:numFmt w:val="bullet"/>
      <w:lvlText w:val="•"/>
      <w:lvlJc w:val="left"/>
      <w:pPr>
        <w:ind w:left="2644" w:hanging="721"/>
      </w:pPr>
      <w:rPr>
        <w:rFonts w:hint="default"/>
      </w:rPr>
    </w:lvl>
    <w:lvl w:ilvl="3">
      <w:numFmt w:val="bullet"/>
      <w:lvlText w:val="•"/>
      <w:lvlJc w:val="left"/>
      <w:pPr>
        <w:ind w:left="3516" w:hanging="721"/>
      </w:pPr>
      <w:rPr>
        <w:rFonts w:hint="default"/>
      </w:rPr>
    </w:lvl>
    <w:lvl w:ilvl="4">
      <w:numFmt w:val="bullet"/>
      <w:lvlText w:val="•"/>
      <w:lvlJc w:val="left"/>
      <w:pPr>
        <w:ind w:left="4388" w:hanging="721"/>
      </w:pPr>
      <w:rPr>
        <w:rFonts w:hint="default"/>
      </w:rPr>
    </w:lvl>
    <w:lvl w:ilvl="5">
      <w:numFmt w:val="bullet"/>
      <w:lvlText w:val="•"/>
      <w:lvlJc w:val="left"/>
      <w:pPr>
        <w:ind w:left="5260" w:hanging="721"/>
      </w:pPr>
      <w:rPr>
        <w:rFonts w:hint="default"/>
      </w:rPr>
    </w:lvl>
    <w:lvl w:ilvl="6">
      <w:numFmt w:val="bullet"/>
      <w:lvlText w:val="•"/>
      <w:lvlJc w:val="left"/>
      <w:pPr>
        <w:ind w:left="6132" w:hanging="721"/>
      </w:pPr>
      <w:rPr>
        <w:rFonts w:hint="default"/>
      </w:rPr>
    </w:lvl>
    <w:lvl w:ilvl="7">
      <w:numFmt w:val="bullet"/>
      <w:lvlText w:val="•"/>
      <w:lvlJc w:val="left"/>
      <w:pPr>
        <w:ind w:left="7004" w:hanging="721"/>
      </w:pPr>
      <w:rPr>
        <w:rFonts w:hint="default"/>
      </w:rPr>
    </w:lvl>
    <w:lvl w:ilvl="8">
      <w:numFmt w:val="bullet"/>
      <w:lvlText w:val="•"/>
      <w:lvlJc w:val="left"/>
      <w:pPr>
        <w:ind w:left="7876" w:hanging="721"/>
      </w:pPr>
      <w:rPr>
        <w:rFonts w:hint="default"/>
      </w:rPr>
    </w:lvl>
  </w:abstractNum>
  <w:abstractNum w:abstractNumId="5" w15:restartNumberingAfterBreak="0">
    <w:nsid w:val="39356EA2"/>
    <w:multiLevelType w:val="multilevel"/>
    <w:tmpl w:val="C13CC63E"/>
    <w:lvl w:ilvl="0">
      <w:start w:val="2"/>
      <w:numFmt w:val="decimal"/>
      <w:lvlText w:val="%1"/>
      <w:lvlJc w:val="left"/>
      <w:pPr>
        <w:ind w:left="900" w:hanging="721"/>
        <w:jc w:val="left"/>
      </w:pPr>
      <w:rPr>
        <w:rFonts w:hint="default"/>
      </w:rPr>
    </w:lvl>
    <w:lvl w:ilvl="1">
      <w:start w:val="1"/>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80" w:hanging="961"/>
        <w:jc w:val="left"/>
      </w:pPr>
      <w:rPr>
        <w:rFonts w:ascii="Courier New" w:eastAsia="Courier New" w:hAnsi="Courier New" w:cs="Courier New" w:hint="default"/>
        <w:w w:val="99"/>
        <w:sz w:val="20"/>
        <w:szCs w:val="20"/>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2557" w:hanging="1200"/>
      </w:pPr>
      <w:rPr>
        <w:rFonts w:hint="default"/>
      </w:rPr>
    </w:lvl>
    <w:lvl w:ilvl="5">
      <w:numFmt w:val="bullet"/>
      <w:lvlText w:val="•"/>
      <w:lvlJc w:val="left"/>
      <w:pPr>
        <w:ind w:left="3734" w:hanging="1200"/>
      </w:pPr>
      <w:rPr>
        <w:rFonts w:hint="default"/>
      </w:rPr>
    </w:lvl>
    <w:lvl w:ilvl="6">
      <w:numFmt w:val="bullet"/>
      <w:lvlText w:val="•"/>
      <w:lvlJc w:val="left"/>
      <w:pPr>
        <w:ind w:left="4911" w:hanging="1200"/>
      </w:pPr>
      <w:rPr>
        <w:rFonts w:hint="default"/>
      </w:rPr>
    </w:lvl>
    <w:lvl w:ilvl="7">
      <w:numFmt w:val="bullet"/>
      <w:lvlText w:val="•"/>
      <w:lvlJc w:val="left"/>
      <w:pPr>
        <w:ind w:left="6088" w:hanging="1200"/>
      </w:pPr>
      <w:rPr>
        <w:rFonts w:hint="default"/>
      </w:rPr>
    </w:lvl>
    <w:lvl w:ilvl="8">
      <w:numFmt w:val="bullet"/>
      <w:lvlText w:val="•"/>
      <w:lvlJc w:val="left"/>
      <w:pPr>
        <w:ind w:left="7265" w:hanging="1200"/>
      </w:pPr>
      <w:rPr>
        <w:rFonts w:hint="default"/>
      </w:rPr>
    </w:lvl>
  </w:abstractNum>
  <w:abstractNum w:abstractNumId="6" w15:restartNumberingAfterBreak="0">
    <w:nsid w:val="3BF7299A"/>
    <w:multiLevelType w:val="multilevel"/>
    <w:tmpl w:val="B58C3A48"/>
    <w:lvl w:ilvl="0">
      <w:start w:val="2"/>
      <w:numFmt w:val="decimal"/>
      <w:lvlText w:val="%1"/>
      <w:lvlJc w:val="left"/>
      <w:pPr>
        <w:ind w:left="1358" w:hanging="720"/>
        <w:jc w:val="left"/>
      </w:pPr>
      <w:rPr>
        <w:rFonts w:hint="default"/>
      </w:rPr>
    </w:lvl>
    <w:lvl w:ilvl="1">
      <w:start w:val="1"/>
      <w:numFmt w:val="decimal"/>
      <w:lvlText w:val="%1.%2"/>
      <w:lvlJc w:val="left"/>
      <w:pPr>
        <w:ind w:left="399" w:hanging="720"/>
        <w:jc w:val="left"/>
      </w:pPr>
      <w:rPr>
        <w:rFonts w:ascii="Courier New" w:eastAsia="Courier New" w:hAnsi="Courier New" w:cs="Courier New" w:hint="default"/>
        <w:w w:val="99"/>
        <w:sz w:val="20"/>
        <w:szCs w:val="20"/>
      </w:rPr>
    </w:lvl>
    <w:lvl w:ilvl="2">
      <w:start w:val="1"/>
      <w:numFmt w:val="decimal"/>
      <w:lvlText w:val="%1.%2.%3"/>
      <w:lvlJc w:val="left"/>
      <w:pPr>
        <w:ind w:left="1400" w:hanging="960"/>
        <w:jc w:val="left"/>
      </w:pPr>
      <w:rPr>
        <w:rFonts w:ascii="Courier New" w:eastAsia="Courier New" w:hAnsi="Courier New" w:cs="Courier New" w:hint="default"/>
        <w:w w:val="99"/>
        <w:sz w:val="20"/>
        <w:szCs w:val="20"/>
      </w:rPr>
    </w:lvl>
    <w:lvl w:ilvl="3">
      <w:start w:val="1"/>
      <w:numFmt w:val="decimal"/>
      <w:lvlText w:val="%1.%2.%3.%4"/>
      <w:lvlJc w:val="left"/>
      <w:pPr>
        <w:ind w:left="2319" w:hanging="1201"/>
        <w:jc w:val="left"/>
      </w:pPr>
      <w:rPr>
        <w:rFonts w:ascii="Courier New" w:eastAsia="Courier New" w:hAnsi="Courier New" w:cs="Courier New" w:hint="default"/>
        <w:w w:val="99"/>
        <w:sz w:val="20"/>
        <w:szCs w:val="20"/>
      </w:rPr>
    </w:lvl>
    <w:lvl w:ilvl="4">
      <w:numFmt w:val="bullet"/>
      <w:lvlText w:val="•"/>
      <w:lvlJc w:val="left"/>
      <w:pPr>
        <w:ind w:left="2320" w:hanging="1201"/>
      </w:pPr>
      <w:rPr>
        <w:rFonts w:hint="default"/>
      </w:rPr>
    </w:lvl>
    <w:lvl w:ilvl="5">
      <w:numFmt w:val="bullet"/>
      <w:lvlText w:val="•"/>
      <w:lvlJc w:val="left"/>
      <w:pPr>
        <w:ind w:left="3536" w:hanging="1201"/>
      </w:pPr>
      <w:rPr>
        <w:rFonts w:hint="default"/>
      </w:rPr>
    </w:lvl>
    <w:lvl w:ilvl="6">
      <w:numFmt w:val="bullet"/>
      <w:lvlText w:val="•"/>
      <w:lvlJc w:val="left"/>
      <w:pPr>
        <w:ind w:left="4753" w:hanging="1201"/>
      </w:pPr>
      <w:rPr>
        <w:rFonts w:hint="default"/>
      </w:rPr>
    </w:lvl>
    <w:lvl w:ilvl="7">
      <w:numFmt w:val="bullet"/>
      <w:lvlText w:val="•"/>
      <w:lvlJc w:val="left"/>
      <w:pPr>
        <w:ind w:left="5970" w:hanging="1201"/>
      </w:pPr>
      <w:rPr>
        <w:rFonts w:hint="default"/>
      </w:rPr>
    </w:lvl>
    <w:lvl w:ilvl="8">
      <w:numFmt w:val="bullet"/>
      <w:lvlText w:val="•"/>
      <w:lvlJc w:val="left"/>
      <w:pPr>
        <w:ind w:left="7186" w:hanging="1201"/>
      </w:pPr>
      <w:rPr>
        <w:rFonts w:hint="default"/>
      </w:rPr>
    </w:lvl>
  </w:abstractNum>
  <w:abstractNum w:abstractNumId="7" w15:restartNumberingAfterBreak="0">
    <w:nsid w:val="46945643"/>
    <w:multiLevelType w:val="multilevel"/>
    <w:tmpl w:val="5756E5D6"/>
    <w:lvl w:ilvl="0">
      <w:start w:val="3"/>
      <w:numFmt w:val="decimal"/>
      <w:lvlText w:val="%1"/>
      <w:lvlJc w:val="left"/>
      <w:pPr>
        <w:ind w:left="900" w:hanging="721"/>
        <w:jc w:val="left"/>
      </w:pPr>
      <w:rPr>
        <w:rFonts w:hint="default"/>
      </w:rPr>
    </w:lvl>
    <w:lvl w:ilvl="1">
      <w:start w:val="5"/>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lowerLetter"/>
      <w:lvlText w:val="%4."/>
      <w:lvlJc w:val="left"/>
      <w:pPr>
        <w:ind w:left="900" w:hanging="480"/>
        <w:jc w:val="left"/>
      </w:pPr>
      <w:rPr>
        <w:rFonts w:ascii="Courier New" w:eastAsia="Courier New" w:hAnsi="Courier New" w:cs="Courier New" w:hint="default"/>
        <w:w w:val="99"/>
        <w:sz w:val="20"/>
        <w:szCs w:val="20"/>
      </w:rPr>
    </w:lvl>
    <w:lvl w:ilvl="4">
      <w:numFmt w:val="bullet"/>
      <w:lvlText w:val="•"/>
      <w:lvlJc w:val="left"/>
      <w:pPr>
        <w:ind w:left="3966" w:hanging="480"/>
      </w:pPr>
      <w:rPr>
        <w:rFonts w:hint="default"/>
      </w:rPr>
    </w:lvl>
    <w:lvl w:ilvl="5">
      <w:numFmt w:val="bullet"/>
      <w:lvlText w:val="•"/>
      <w:lvlJc w:val="left"/>
      <w:pPr>
        <w:ind w:left="4908" w:hanging="480"/>
      </w:pPr>
      <w:rPr>
        <w:rFonts w:hint="default"/>
      </w:rPr>
    </w:lvl>
    <w:lvl w:ilvl="6">
      <w:numFmt w:val="bullet"/>
      <w:lvlText w:val="•"/>
      <w:lvlJc w:val="left"/>
      <w:pPr>
        <w:ind w:left="5851" w:hanging="480"/>
      </w:pPr>
      <w:rPr>
        <w:rFonts w:hint="default"/>
      </w:rPr>
    </w:lvl>
    <w:lvl w:ilvl="7">
      <w:numFmt w:val="bullet"/>
      <w:lvlText w:val="•"/>
      <w:lvlJc w:val="left"/>
      <w:pPr>
        <w:ind w:left="6793" w:hanging="480"/>
      </w:pPr>
      <w:rPr>
        <w:rFonts w:hint="default"/>
      </w:rPr>
    </w:lvl>
    <w:lvl w:ilvl="8">
      <w:numFmt w:val="bullet"/>
      <w:lvlText w:val="•"/>
      <w:lvlJc w:val="left"/>
      <w:pPr>
        <w:ind w:left="7735" w:hanging="480"/>
      </w:pPr>
      <w:rPr>
        <w:rFonts w:hint="default"/>
      </w:rPr>
    </w:lvl>
  </w:abstractNum>
  <w:abstractNum w:abstractNumId="8" w15:restartNumberingAfterBreak="0">
    <w:nsid w:val="5BFD4A21"/>
    <w:multiLevelType w:val="multilevel"/>
    <w:tmpl w:val="EBD2916A"/>
    <w:lvl w:ilvl="0">
      <w:start w:val="3"/>
      <w:numFmt w:val="decimal"/>
      <w:lvlText w:val="%1"/>
      <w:lvlJc w:val="left"/>
      <w:pPr>
        <w:ind w:left="900" w:hanging="721"/>
        <w:jc w:val="left"/>
      </w:pPr>
      <w:rPr>
        <w:rFonts w:hint="default"/>
      </w:rPr>
    </w:lvl>
    <w:lvl w:ilvl="1">
      <w:start w:val="1"/>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numFmt w:val="bullet"/>
      <w:lvlText w:val="•"/>
      <w:lvlJc w:val="left"/>
      <w:pPr>
        <w:ind w:left="3024" w:hanging="961"/>
      </w:pPr>
      <w:rPr>
        <w:rFonts w:hint="default"/>
      </w:rPr>
    </w:lvl>
    <w:lvl w:ilvl="4">
      <w:numFmt w:val="bullet"/>
      <w:lvlText w:val="•"/>
      <w:lvlJc w:val="left"/>
      <w:pPr>
        <w:ind w:left="3966" w:hanging="961"/>
      </w:pPr>
      <w:rPr>
        <w:rFonts w:hint="default"/>
      </w:rPr>
    </w:lvl>
    <w:lvl w:ilvl="5">
      <w:numFmt w:val="bullet"/>
      <w:lvlText w:val="•"/>
      <w:lvlJc w:val="left"/>
      <w:pPr>
        <w:ind w:left="4908" w:hanging="961"/>
      </w:pPr>
      <w:rPr>
        <w:rFonts w:hint="default"/>
      </w:rPr>
    </w:lvl>
    <w:lvl w:ilvl="6">
      <w:numFmt w:val="bullet"/>
      <w:lvlText w:val="•"/>
      <w:lvlJc w:val="left"/>
      <w:pPr>
        <w:ind w:left="5851" w:hanging="961"/>
      </w:pPr>
      <w:rPr>
        <w:rFonts w:hint="default"/>
      </w:rPr>
    </w:lvl>
    <w:lvl w:ilvl="7">
      <w:numFmt w:val="bullet"/>
      <w:lvlText w:val="•"/>
      <w:lvlJc w:val="left"/>
      <w:pPr>
        <w:ind w:left="6793" w:hanging="961"/>
      </w:pPr>
      <w:rPr>
        <w:rFonts w:hint="default"/>
      </w:rPr>
    </w:lvl>
    <w:lvl w:ilvl="8">
      <w:numFmt w:val="bullet"/>
      <w:lvlText w:val="•"/>
      <w:lvlJc w:val="left"/>
      <w:pPr>
        <w:ind w:left="7735" w:hanging="961"/>
      </w:pPr>
      <w:rPr>
        <w:rFonts w:hint="default"/>
      </w:rPr>
    </w:lvl>
  </w:abstractNum>
  <w:abstractNum w:abstractNumId="9" w15:restartNumberingAfterBreak="0">
    <w:nsid w:val="6BF975BE"/>
    <w:multiLevelType w:val="multilevel"/>
    <w:tmpl w:val="1F600242"/>
    <w:lvl w:ilvl="0">
      <w:start w:val="1"/>
      <w:numFmt w:val="decimal"/>
      <w:lvlText w:val="%1"/>
      <w:lvlJc w:val="left"/>
      <w:pPr>
        <w:ind w:left="900" w:hanging="721"/>
        <w:jc w:val="left"/>
      </w:pPr>
      <w:rPr>
        <w:rFonts w:hint="default"/>
      </w:rPr>
    </w:lvl>
    <w:lvl w:ilvl="1">
      <w:start w:val="6"/>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numFmt w:val="bullet"/>
      <w:lvlText w:val="•"/>
      <w:lvlJc w:val="left"/>
      <w:pPr>
        <w:ind w:left="3024" w:hanging="961"/>
      </w:pPr>
      <w:rPr>
        <w:rFonts w:hint="default"/>
      </w:rPr>
    </w:lvl>
    <w:lvl w:ilvl="4">
      <w:numFmt w:val="bullet"/>
      <w:lvlText w:val="•"/>
      <w:lvlJc w:val="left"/>
      <w:pPr>
        <w:ind w:left="3966" w:hanging="961"/>
      </w:pPr>
      <w:rPr>
        <w:rFonts w:hint="default"/>
      </w:rPr>
    </w:lvl>
    <w:lvl w:ilvl="5">
      <w:numFmt w:val="bullet"/>
      <w:lvlText w:val="•"/>
      <w:lvlJc w:val="left"/>
      <w:pPr>
        <w:ind w:left="4908" w:hanging="961"/>
      </w:pPr>
      <w:rPr>
        <w:rFonts w:hint="default"/>
      </w:rPr>
    </w:lvl>
    <w:lvl w:ilvl="6">
      <w:numFmt w:val="bullet"/>
      <w:lvlText w:val="•"/>
      <w:lvlJc w:val="left"/>
      <w:pPr>
        <w:ind w:left="5851" w:hanging="961"/>
      </w:pPr>
      <w:rPr>
        <w:rFonts w:hint="default"/>
      </w:rPr>
    </w:lvl>
    <w:lvl w:ilvl="7">
      <w:numFmt w:val="bullet"/>
      <w:lvlText w:val="•"/>
      <w:lvlJc w:val="left"/>
      <w:pPr>
        <w:ind w:left="6793" w:hanging="961"/>
      </w:pPr>
      <w:rPr>
        <w:rFonts w:hint="default"/>
      </w:rPr>
    </w:lvl>
    <w:lvl w:ilvl="8">
      <w:numFmt w:val="bullet"/>
      <w:lvlText w:val="•"/>
      <w:lvlJc w:val="left"/>
      <w:pPr>
        <w:ind w:left="7735" w:hanging="961"/>
      </w:pPr>
      <w:rPr>
        <w:rFonts w:hint="default"/>
      </w:rPr>
    </w:lvl>
  </w:abstractNum>
  <w:abstractNum w:abstractNumId="10" w15:restartNumberingAfterBreak="0">
    <w:nsid w:val="6F6C628A"/>
    <w:multiLevelType w:val="multilevel"/>
    <w:tmpl w:val="D91829EA"/>
    <w:lvl w:ilvl="0">
      <w:start w:val="2"/>
      <w:numFmt w:val="decimal"/>
      <w:lvlText w:val="%1"/>
      <w:lvlJc w:val="left"/>
      <w:pPr>
        <w:ind w:left="900" w:hanging="721"/>
        <w:jc w:val="left"/>
      </w:pPr>
      <w:rPr>
        <w:rFonts w:hint="default"/>
      </w:rPr>
    </w:lvl>
    <w:lvl w:ilvl="1">
      <w:start w:val="3"/>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numFmt w:val="bullet"/>
      <w:lvlText w:val="•"/>
      <w:lvlJc w:val="left"/>
      <w:pPr>
        <w:ind w:left="3024" w:hanging="961"/>
      </w:pPr>
      <w:rPr>
        <w:rFonts w:hint="default"/>
      </w:rPr>
    </w:lvl>
    <w:lvl w:ilvl="4">
      <w:numFmt w:val="bullet"/>
      <w:lvlText w:val="•"/>
      <w:lvlJc w:val="left"/>
      <w:pPr>
        <w:ind w:left="3966" w:hanging="961"/>
      </w:pPr>
      <w:rPr>
        <w:rFonts w:hint="default"/>
      </w:rPr>
    </w:lvl>
    <w:lvl w:ilvl="5">
      <w:numFmt w:val="bullet"/>
      <w:lvlText w:val="•"/>
      <w:lvlJc w:val="left"/>
      <w:pPr>
        <w:ind w:left="4908" w:hanging="961"/>
      </w:pPr>
      <w:rPr>
        <w:rFonts w:hint="default"/>
      </w:rPr>
    </w:lvl>
    <w:lvl w:ilvl="6">
      <w:numFmt w:val="bullet"/>
      <w:lvlText w:val="•"/>
      <w:lvlJc w:val="left"/>
      <w:pPr>
        <w:ind w:left="5851" w:hanging="961"/>
      </w:pPr>
      <w:rPr>
        <w:rFonts w:hint="default"/>
      </w:rPr>
    </w:lvl>
    <w:lvl w:ilvl="7">
      <w:numFmt w:val="bullet"/>
      <w:lvlText w:val="•"/>
      <w:lvlJc w:val="left"/>
      <w:pPr>
        <w:ind w:left="6793" w:hanging="961"/>
      </w:pPr>
      <w:rPr>
        <w:rFonts w:hint="default"/>
      </w:rPr>
    </w:lvl>
    <w:lvl w:ilvl="8">
      <w:numFmt w:val="bullet"/>
      <w:lvlText w:val="•"/>
      <w:lvlJc w:val="left"/>
      <w:pPr>
        <w:ind w:left="7735" w:hanging="961"/>
      </w:pPr>
      <w:rPr>
        <w:rFonts w:hint="default"/>
      </w:rPr>
    </w:lvl>
  </w:abstractNum>
  <w:num w:numId="1">
    <w:abstractNumId w:val="7"/>
  </w:num>
  <w:num w:numId="2">
    <w:abstractNumId w:val="3"/>
  </w:num>
  <w:num w:numId="3">
    <w:abstractNumId w:val="8"/>
  </w:num>
  <w:num w:numId="4">
    <w:abstractNumId w:val="2"/>
  </w:num>
  <w:num w:numId="5">
    <w:abstractNumId w:val="10"/>
  </w:num>
  <w:num w:numId="6">
    <w:abstractNumId w:val="5"/>
  </w:num>
  <w:num w:numId="7">
    <w:abstractNumId w:val="9"/>
  </w:num>
  <w:num w:numId="8">
    <w:abstractNumId w:val="4"/>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AD"/>
    <w:rsid w:val="00087998"/>
    <w:rsid w:val="000B68B6"/>
    <w:rsid w:val="000C0E83"/>
    <w:rsid w:val="002849EF"/>
    <w:rsid w:val="00293E35"/>
    <w:rsid w:val="002F7635"/>
    <w:rsid w:val="00382592"/>
    <w:rsid w:val="003D0294"/>
    <w:rsid w:val="003E5417"/>
    <w:rsid w:val="004A2D0A"/>
    <w:rsid w:val="00591122"/>
    <w:rsid w:val="007F284A"/>
    <w:rsid w:val="007F7A14"/>
    <w:rsid w:val="008950C5"/>
    <w:rsid w:val="009263AD"/>
    <w:rsid w:val="0097373B"/>
    <w:rsid w:val="009D1EF1"/>
    <w:rsid w:val="009D2025"/>
    <w:rsid w:val="00A11267"/>
    <w:rsid w:val="00A666B3"/>
    <w:rsid w:val="00AB51E5"/>
    <w:rsid w:val="00AC3D84"/>
    <w:rsid w:val="00AD793D"/>
    <w:rsid w:val="00BB15D9"/>
    <w:rsid w:val="00C324CA"/>
    <w:rsid w:val="00D301CB"/>
    <w:rsid w:val="00E24CAD"/>
    <w:rsid w:val="00ED795C"/>
    <w:rsid w:val="00F0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30AC744-0220-4A88-9656-6545B64F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6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38" w:hanging="959"/>
    </w:pPr>
  </w:style>
  <w:style w:type="paragraph" w:customStyle="1" w:styleId="TableParagraph">
    <w:name w:val="Table Paragraph"/>
    <w:basedOn w:val="Normal"/>
    <w:uiPriority w:val="1"/>
    <w:qFormat/>
    <w:pPr>
      <w:spacing w:before="12"/>
      <w:ind w:left="57"/>
    </w:pPr>
  </w:style>
  <w:style w:type="paragraph" w:styleId="BalloonText">
    <w:name w:val="Balloon Text"/>
    <w:basedOn w:val="Normal"/>
    <w:link w:val="BalloonTextChar"/>
    <w:uiPriority w:val="99"/>
    <w:semiHidden/>
    <w:unhideWhenUsed/>
    <w:rsid w:val="004A2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D0A"/>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UFGS 07 92 00 Joint Sealants</vt:lpstr>
    </vt:vector>
  </TitlesOfParts>
  <Company>United States Army</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92 00 Joint Sealants</dc:title>
  <dc:creator>Eleno, Marilyn R CIV</dc:creator>
  <cp:lastModifiedBy>Eleno, Marilyn R CIV USA IMCOM</cp:lastModifiedBy>
  <cp:revision>2</cp:revision>
  <cp:lastPrinted>2018-07-10T16:20:00Z</cp:lastPrinted>
  <dcterms:created xsi:type="dcterms:W3CDTF">2018-08-23T21:42:00Z</dcterms:created>
  <dcterms:modified xsi:type="dcterms:W3CDTF">2018-08-23T21:42:00Z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